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C75DAE" w14:textId="73106842" w:rsidR="007D5C28" w:rsidRDefault="007D5C28" w:rsidP="007D5C28">
      <w:pPr>
        <w:keepNext/>
        <w:keepLines/>
        <w:spacing w:before="200" w:after="0" w:line="276" w:lineRule="auto"/>
        <w:outlineLvl w:val="1"/>
        <w:rPr>
          <w:rFonts w:ascii="Arial" w:eastAsia="MS Gothic" w:hAnsi="Arial" w:cs="Times New Roman"/>
          <w:b/>
          <w:bCs/>
          <w:kern w:val="0"/>
          <w:szCs w:val="26"/>
          <w14:ligatures w14:val="none"/>
        </w:rPr>
      </w:pPr>
      <w:r>
        <w:rPr>
          <w:rFonts w:ascii="Arial" w:eastAsia="MS Gothic" w:hAnsi="Arial" w:cs="Times New Roman"/>
          <w:b/>
          <w:bCs/>
          <w:kern w:val="0"/>
          <w:szCs w:val="26"/>
          <w14:ligatures w14:val="none"/>
        </w:rPr>
        <w:t xml:space="preserve">Nya villkor för Gröna lån – förändringar </w:t>
      </w:r>
      <w:r w:rsidRPr="007D5C28">
        <w:rPr>
          <w:rFonts w:ascii="Arial" w:eastAsia="MS Gothic" w:hAnsi="Arial" w:cs="Times New Roman"/>
          <w:b/>
          <w:bCs/>
          <w:kern w:val="0"/>
          <w:szCs w:val="26"/>
          <w14:ligatures w14:val="none"/>
        </w:rPr>
        <w:t>för respektive projektkategori</w:t>
      </w:r>
    </w:p>
    <w:p w14:paraId="03F548AA" w14:textId="522C9FEF" w:rsidR="007D5C28" w:rsidRPr="007D5C28" w:rsidRDefault="00437427" w:rsidP="007D5C28">
      <w:pPr>
        <w:keepNext/>
        <w:keepLines/>
        <w:spacing w:before="200" w:after="0" w:line="276" w:lineRule="auto"/>
        <w:outlineLvl w:val="1"/>
        <w:rPr>
          <w:rFonts w:ascii="Arial" w:eastAsia="MS Gothic" w:hAnsi="Arial" w:cs="Times New Roman"/>
          <w:kern w:val="0"/>
          <w:sz w:val="22"/>
          <w14:ligatures w14:val="none"/>
        </w:rPr>
      </w:pPr>
      <w:r w:rsidRPr="00437427">
        <w:rPr>
          <w:rFonts w:ascii="Arial" w:eastAsia="MS Gothic" w:hAnsi="Arial" w:cs="Times New Roman"/>
          <w:kern w:val="0"/>
          <w:sz w:val="22"/>
          <w14:ligatures w14:val="none"/>
        </w:rPr>
        <w:t>De nya villkoren tillämpas från och med 1 december 2024</w:t>
      </w:r>
    </w:p>
    <w:p w14:paraId="4E648E72" w14:textId="77777777" w:rsidR="00437427" w:rsidRDefault="00437427" w:rsidP="007D5C28">
      <w:pPr>
        <w:keepNext/>
        <w:keepLines/>
        <w:spacing w:before="200" w:after="0" w:line="276" w:lineRule="auto"/>
        <w:outlineLvl w:val="2"/>
        <w:rPr>
          <w:rFonts w:ascii="Arial" w:eastAsia="MS Gothic" w:hAnsi="Arial" w:cs="Times New Roman"/>
          <w:b/>
          <w:bCs/>
          <w:kern w:val="0"/>
          <w:sz w:val="20"/>
          <w:szCs w:val="22"/>
          <w14:ligatures w14:val="none"/>
        </w:rPr>
      </w:pPr>
    </w:p>
    <w:p w14:paraId="2061D06D" w14:textId="1176D92C" w:rsidR="007D5C28" w:rsidRPr="007D5C28" w:rsidRDefault="007D5C28" w:rsidP="007D5C28">
      <w:pPr>
        <w:keepNext/>
        <w:keepLines/>
        <w:spacing w:before="200" w:after="0" w:line="276" w:lineRule="auto"/>
        <w:outlineLvl w:val="2"/>
        <w:rPr>
          <w:rFonts w:ascii="Arial" w:eastAsia="MS Gothic" w:hAnsi="Arial" w:cs="Times New Roman"/>
          <w:b/>
          <w:bCs/>
          <w:kern w:val="0"/>
          <w:sz w:val="20"/>
          <w:szCs w:val="22"/>
          <w14:ligatures w14:val="none"/>
        </w:rPr>
      </w:pPr>
      <w:r w:rsidRPr="007D5C28">
        <w:rPr>
          <w:rFonts w:ascii="Arial" w:eastAsia="MS Gothic" w:hAnsi="Arial" w:cs="Times New Roman"/>
          <w:b/>
          <w:bCs/>
          <w:kern w:val="0"/>
          <w:sz w:val="20"/>
          <w:szCs w:val="22"/>
          <w14:ligatures w14:val="none"/>
        </w:rPr>
        <w:t xml:space="preserve">Nya upplysningskrav rörande </w:t>
      </w:r>
      <w:r w:rsidR="00091722">
        <w:rPr>
          <w:rFonts w:ascii="Arial" w:eastAsia="MS Gothic" w:hAnsi="Arial" w:cs="Times New Roman"/>
          <w:b/>
          <w:bCs/>
          <w:kern w:val="0"/>
          <w:sz w:val="20"/>
          <w:szCs w:val="22"/>
          <w14:ligatures w14:val="none"/>
        </w:rPr>
        <w:t xml:space="preserve">minskad klimatpåverkan från </w:t>
      </w:r>
      <w:r w:rsidRPr="007D5C28">
        <w:rPr>
          <w:rFonts w:ascii="Arial" w:eastAsia="MS Gothic" w:hAnsi="Arial" w:cs="Times New Roman"/>
          <w:b/>
          <w:bCs/>
          <w:kern w:val="0"/>
          <w:sz w:val="20"/>
          <w:szCs w:val="22"/>
          <w14:ligatures w14:val="none"/>
        </w:rPr>
        <w:t>betong</w:t>
      </w:r>
    </w:p>
    <w:p w14:paraId="6385B4DF" w14:textId="6BB25191" w:rsidR="007D5C28" w:rsidRDefault="007D5C28" w:rsidP="007D5C28">
      <w:pPr>
        <w:spacing w:after="0" w:line="240" w:lineRule="auto"/>
        <w:rPr>
          <w:rFonts w:ascii="Times New Roman" w:eastAsia="Times New Roman" w:hAnsi="Times New Roman" w:cs="Times New Roman"/>
          <w:kern w:val="0"/>
          <w:lang w:eastAsia="sv-SE"/>
          <w14:ligatures w14:val="none"/>
        </w:rPr>
      </w:pPr>
      <w:r w:rsidRPr="007D5C28">
        <w:rPr>
          <w:rFonts w:ascii="Times New Roman" w:eastAsia="Times New Roman" w:hAnsi="Times New Roman" w:cs="Times New Roman"/>
          <w:kern w:val="0"/>
          <w:lang w:eastAsia="sv-SE"/>
          <w14:ligatures w14:val="none"/>
        </w:rPr>
        <w:t xml:space="preserve">Vid användning av betong ska upplysningar lämnas om åtgärder i projektet för att minska betongens klimatpåverkan, med avseende på Resurseffektiv utformning, Rätt betong på rätt plats samt användning av Klimatförbättrad betong. Undantag från </w:t>
      </w:r>
      <w:r w:rsidR="006E223B">
        <w:rPr>
          <w:rFonts w:ascii="Times New Roman" w:eastAsia="Times New Roman" w:hAnsi="Times New Roman" w:cs="Times New Roman"/>
          <w:kern w:val="0"/>
          <w:lang w:eastAsia="sv-SE"/>
          <w14:ligatures w14:val="none"/>
        </w:rPr>
        <w:t>upplysnings</w:t>
      </w:r>
      <w:r w:rsidRPr="007D5C28">
        <w:rPr>
          <w:rFonts w:ascii="Times New Roman" w:eastAsia="Times New Roman" w:hAnsi="Times New Roman" w:cs="Times New Roman"/>
          <w:kern w:val="0"/>
          <w:lang w:eastAsia="sv-SE"/>
          <w14:ligatures w14:val="none"/>
        </w:rPr>
        <w:t>kravet kan göras för betong som är i kontakt med dricksvatten.</w:t>
      </w:r>
    </w:p>
    <w:p w14:paraId="63764302" w14:textId="77777777" w:rsidR="007D5C28" w:rsidRPr="007D5C28" w:rsidRDefault="007D5C28" w:rsidP="007D5C28">
      <w:pPr>
        <w:spacing w:after="0" w:line="240" w:lineRule="auto"/>
        <w:rPr>
          <w:rFonts w:ascii="Times New Roman" w:eastAsia="Times New Roman" w:hAnsi="Times New Roman" w:cs="Times New Roman"/>
          <w:kern w:val="0"/>
          <w:lang w:eastAsia="sv-SE"/>
          <w14:ligatures w14:val="none"/>
        </w:rPr>
      </w:pPr>
    </w:p>
    <w:p w14:paraId="1B78AF99" w14:textId="76C59BA0" w:rsidR="007D5C28" w:rsidRPr="007D5C28" w:rsidRDefault="007D5C28" w:rsidP="007D5C28">
      <w:pPr>
        <w:spacing w:after="0" w:line="240" w:lineRule="auto"/>
        <w:rPr>
          <w:rFonts w:ascii="Times New Roman" w:eastAsia="Times New Roman" w:hAnsi="Times New Roman" w:cs="Times New Roman"/>
          <w:kern w:val="0"/>
          <w:lang w:eastAsia="sv-SE"/>
          <w14:ligatures w14:val="none"/>
        </w:rPr>
      </w:pPr>
      <w:r w:rsidRPr="007D5C28">
        <w:rPr>
          <w:rFonts w:ascii="Times New Roman" w:eastAsia="Times New Roman" w:hAnsi="Times New Roman" w:cs="Times New Roman"/>
          <w:kern w:val="0"/>
          <w:lang w:eastAsia="sv-SE"/>
          <w14:ligatures w14:val="none"/>
        </w:rPr>
        <w:t>De krav på användning av klimatförbättrad betong i nya Gröna byggnader som f</w:t>
      </w:r>
      <w:r w:rsidR="00D96CDA">
        <w:rPr>
          <w:rFonts w:ascii="Times New Roman" w:eastAsia="Times New Roman" w:hAnsi="Times New Roman" w:cs="Times New Roman"/>
          <w:kern w:val="0"/>
          <w:lang w:eastAsia="sv-SE"/>
          <w14:ligatures w14:val="none"/>
        </w:rPr>
        <w:t>unni</w:t>
      </w:r>
      <w:r w:rsidRPr="007D5C28">
        <w:rPr>
          <w:rFonts w:ascii="Times New Roman" w:eastAsia="Times New Roman" w:hAnsi="Times New Roman" w:cs="Times New Roman"/>
          <w:kern w:val="0"/>
          <w:lang w:eastAsia="sv-SE"/>
          <w14:ligatures w14:val="none"/>
        </w:rPr>
        <w:t xml:space="preserve">ts sedan tidigare finns kvar i det nya ramverket, men det är numera </w:t>
      </w:r>
      <w:r w:rsidR="001A3F11">
        <w:rPr>
          <w:rFonts w:ascii="Times New Roman" w:eastAsia="Times New Roman" w:hAnsi="Times New Roman" w:cs="Times New Roman"/>
          <w:kern w:val="0"/>
          <w:lang w:eastAsia="sv-SE"/>
          <w14:ligatures w14:val="none"/>
        </w:rPr>
        <w:t>kvantifierat</w:t>
      </w:r>
      <w:r w:rsidRPr="007D5C28">
        <w:rPr>
          <w:rFonts w:ascii="Times New Roman" w:eastAsia="Times New Roman" w:hAnsi="Times New Roman" w:cs="Times New Roman"/>
          <w:kern w:val="0"/>
          <w:lang w:eastAsia="sv-SE"/>
          <w14:ligatures w14:val="none"/>
        </w:rPr>
        <w:t xml:space="preserve"> hur stor minskningen av klimatpåverkan från betongen ska vara för att den ska räknas som klimatförbättrad. </w:t>
      </w:r>
    </w:p>
    <w:p w14:paraId="7FF53939" w14:textId="77777777" w:rsidR="007D5C28" w:rsidRPr="007D5C28" w:rsidRDefault="007D5C28" w:rsidP="007D5C28">
      <w:pPr>
        <w:spacing w:after="0" w:line="240" w:lineRule="auto"/>
        <w:rPr>
          <w:rFonts w:ascii="Times New Roman" w:eastAsia="Times New Roman" w:hAnsi="Times New Roman" w:cs="Times New Roman"/>
          <w:kern w:val="0"/>
          <w:lang w:eastAsia="sv-SE"/>
          <w14:ligatures w14:val="none"/>
        </w:rPr>
      </w:pPr>
    </w:p>
    <w:p w14:paraId="7DA14C32" w14:textId="41807923" w:rsidR="007D5C28" w:rsidRPr="007D5C28" w:rsidRDefault="007D5C28" w:rsidP="007D5C28">
      <w:pPr>
        <w:spacing w:after="0" w:line="240" w:lineRule="auto"/>
        <w:rPr>
          <w:rFonts w:ascii="Times New Roman" w:eastAsia="Times New Roman" w:hAnsi="Times New Roman" w:cs="Times New Roman"/>
          <w:kern w:val="0"/>
          <w:lang w:eastAsia="sv-SE"/>
          <w14:ligatures w14:val="none"/>
        </w:rPr>
      </w:pPr>
      <w:r w:rsidRPr="007D5C28">
        <w:rPr>
          <w:rFonts w:ascii="Times New Roman" w:eastAsia="Times New Roman" w:hAnsi="Times New Roman" w:cs="Times New Roman"/>
          <w:kern w:val="0"/>
          <w:lang w:eastAsia="sv-SE"/>
          <w14:ligatures w14:val="none"/>
        </w:rPr>
        <w:t>Kommuninvests ambition är att under 2025 införa skarpa krav på minskad klimatpåverkan från betong för samtliga projektkategorier, inklusive gränsvärden för</w:t>
      </w:r>
      <w:r w:rsidR="0012309B">
        <w:rPr>
          <w:rFonts w:ascii="Times New Roman" w:eastAsia="Times New Roman" w:hAnsi="Times New Roman" w:cs="Times New Roman"/>
          <w:kern w:val="0"/>
          <w:lang w:eastAsia="sv-SE"/>
          <w14:ligatures w14:val="none"/>
        </w:rPr>
        <w:t xml:space="preserve"> byggnaders</w:t>
      </w:r>
      <w:r w:rsidRPr="007D5C28">
        <w:rPr>
          <w:rFonts w:ascii="Times New Roman" w:eastAsia="Times New Roman" w:hAnsi="Times New Roman" w:cs="Times New Roman"/>
          <w:kern w:val="0"/>
          <w:lang w:eastAsia="sv-SE"/>
          <w14:ligatures w14:val="none"/>
        </w:rPr>
        <w:t xml:space="preserve"> klimatpåverkan </w:t>
      </w:r>
      <w:r w:rsidR="0012309B">
        <w:rPr>
          <w:rFonts w:ascii="Times New Roman" w:eastAsia="Times New Roman" w:hAnsi="Times New Roman" w:cs="Times New Roman"/>
          <w:kern w:val="0"/>
          <w:lang w:eastAsia="sv-SE"/>
          <w14:ligatures w14:val="none"/>
        </w:rPr>
        <w:t>vid nyproduktion</w:t>
      </w:r>
      <w:r w:rsidRPr="007D5C28">
        <w:rPr>
          <w:rFonts w:ascii="Times New Roman" w:eastAsia="Times New Roman" w:hAnsi="Times New Roman" w:cs="Times New Roman"/>
          <w:kern w:val="0"/>
          <w:lang w:eastAsia="sv-SE"/>
          <w14:ligatures w14:val="none"/>
        </w:rPr>
        <w:t xml:space="preserve">. </w:t>
      </w:r>
    </w:p>
    <w:p w14:paraId="2FF50A2F" w14:textId="77777777" w:rsidR="007D5C28" w:rsidRPr="007D5C28" w:rsidRDefault="007D5C28" w:rsidP="007D5C28">
      <w:pPr>
        <w:keepNext/>
        <w:keepLines/>
        <w:spacing w:before="200" w:after="0" w:line="276" w:lineRule="auto"/>
        <w:outlineLvl w:val="2"/>
        <w:rPr>
          <w:rFonts w:ascii="Arial" w:eastAsia="MS Gothic" w:hAnsi="Arial" w:cs="Times New Roman"/>
          <w:b/>
          <w:bCs/>
          <w:kern w:val="0"/>
          <w:sz w:val="20"/>
          <w:szCs w:val="22"/>
          <w14:ligatures w14:val="none"/>
        </w:rPr>
      </w:pPr>
      <w:r w:rsidRPr="007D5C28">
        <w:rPr>
          <w:rFonts w:ascii="Arial" w:eastAsia="MS Gothic" w:hAnsi="Arial" w:cs="Times New Roman"/>
          <w:b/>
          <w:bCs/>
          <w:kern w:val="0"/>
          <w:sz w:val="20"/>
          <w:szCs w:val="22"/>
          <w14:ligatures w14:val="none"/>
        </w:rPr>
        <w:t xml:space="preserve">Förnybar energi </w:t>
      </w:r>
    </w:p>
    <w:p w14:paraId="669475D4" w14:textId="4B732803" w:rsidR="007D5C28" w:rsidRPr="007D5C28" w:rsidRDefault="007D5C28" w:rsidP="007D5C28">
      <w:pPr>
        <w:numPr>
          <w:ilvl w:val="0"/>
          <w:numId w:val="1"/>
        </w:numPr>
        <w:spacing w:after="200" w:line="240" w:lineRule="auto"/>
        <w:contextualSpacing/>
        <w:rPr>
          <w:rFonts w:ascii="Times New Roman" w:eastAsia="Times New Roman" w:hAnsi="Times New Roman" w:cs="Times New Roman"/>
          <w:kern w:val="0"/>
          <w:lang w:eastAsia="sv-SE"/>
          <w14:ligatures w14:val="none"/>
        </w:rPr>
      </w:pPr>
      <w:r w:rsidRPr="007D5C28">
        <w:rPr>
          <w:rFonts w:ascii="Times New Roman" w:eastAsia="Times New Roman" w:hAnsi="Times New Roman" w:cs="Times New Roman"/>
          <w:kern w:val="0"/>
          <w:lang w:eastAsia="sv-SE"/>
          <w14:ligatures w14:val="none"/>
        </w:rPr>
        <w:t xml:space="preserve">Projektkategorin har </w:t>
      </w:r>
      <w:r w:rsidR="00537351">
        <w:rPr>
          <w:rFonts w:ascii="Times New Roman" w:eastAsia="Times New Roman" w:hAnsi="Times New Roman" w:cs="Times New Roman"/>
          <w:kern w:val="0"/>
          <w:lang w:eastAsia="sv-SE"/>
          <w14:ligatures w14:val="none"/>
        </w:rPr>
        <w:t>anpassats</w:t>
      </w:r>
      <w:r w:rsidRPr="007D5C28">
        <w:rPr>
          <w:rFonts w:ascii="Times New Roman" w:eastAsia="Times New Roman" w:hAnsi="Times New Roman" w:cs="Times New Roman"/>
          <w:kern w:val="0"/>
          <w:lang w:eastAsia="sv-SE"/>
          <w14:ligatures w14:val="none"/>
        </w:rPr>
        <w:t xml:space="preserve"> så att enbart aktiviteter helt baserade på förnybar energi kan finansieras inom kategorin (fossila bränslen tillåts för att sätta </w:t>
      </w:r>
      <w:proofErr w:type="gramStart"/>
      <w:r w:rsidRPr="007D5C28">
        <w:rPr>
          <w:rFonts w:ascii="Times New Roman" w:eastAsia="Times New Roman" w:hAnsi="Times New Roman" w:cs="Times New Roman"/>
          <w:kern w:val="0"/>
          <w:lang w:eastAsia="sv-SE"/>
          <w14:ligatures w14:val="none"/>
        </w:rPr>
        <w:t>igång</w:t>
      </w:r>
      <w:proofErr w:type="gramEnd"/>
      <w:r w:rsidRPr="007D5C28">
        <w:rPr>
          <w:rFonts w:ascii="Times New Roman" w:eastAsia="Times New Roman" w:hAnsi="Times New Roman" w:cs="Times New Roman"/>
          <w:kern w:val="0"/>
          <w:lang w:eastAsia="sv-SE"/>
          <w14:ligatures w14:val="none"/>
        </w:rPr>
        <w:t xml:space="preserve"> och avsluta processer)</w:t>
      </w:r>
    </w:p>
    <w:p w14:paraId="68792E2A" w14:textId="77777777" w:rsidR="007D5C28" w:rsidRPr="007D5C28" w:rsidRDefault="007D5C28" w:rsidP="007D5C28">
      <w:pPr>
        <w:numPr>
          <w:ilvl w:val="0"/>
          <w:numId w:val="1"/>
        </w:numPr>
        <w:spacing w:after="200" w:line="240" w:lineRule="auto"/>
        <w:contextualSpacing/>
        <w:rPr>
          <w:rFonts w:ascii="Times New Roman" w:eastAsia="Times New Roman" w:hAnsi="Times New Roman" w:cs="Times New Roman"/>
          <w:kern w:val="0"/>
          <w:lang w:eastAsia="sv-SE"/>
          <w14:ligatures w14:val="none"/>
        </w:rPr>
      </w:pPr>
      <w:r w:rsidRPr="007D5C28">
        <w:rPr>
          <w:rFonts w:ascii="Times New Roman" w:eastAsia="Times New Roman" w:hAnsi="Times New Roman" w:cs="Times New Roman"/>
          <w:kern w:val="0"/>
          <w:lang w:eastAsia="sv-SE"/>
          <w14:ligatures w14:val="none"/>
        </w:rPr>
        <w:t xml:space="preserve">Flera aktiviteter som tidigare låg i projektkategori Förnybar energi har flyttats till projektkategori Energieffektivisering. Det gäller </w:t>
      </w:r>
      <w:proofErr w:type="gramStart"/>
      <w:r w:rsidRPr="007D5C28">
        <w:rPr>
          <w:rFonts w:ascii="Times New Roman" w:eastAsia="Times New Roman" w:hAnsi="Times New Roman" w:cs="Times New Roman"/>
          <w:kern w:val="0"/>
          <w:lang w:eastAsia="sv-SE"/>
          <w14:ligatures w14:val="none"/>
        </w:rPr>
        <w:t>t.ex.</w:t>
      </w:r>
      <w:proofErr w:type="gramEnd"/>
      <w:r w:rsidRPr="007D5C28">
        <w:rPr>
          <w:rFonts w:ascii="Times New Roman" w:eastAsia="Times New Roman" w:hAnsi="Times New Roman" w:cs="Times New Roman"/>
          <w:kern w:val="0"/>
          <w:lang w:eastAsia="sv-SE"/>
          <w14:ligatures w14:val="none"/>
        </w:rPr>
        <w:t xml:space="preserve"> exempelvis distribution av fjärrvärme/fjärrkyla, inklusive elektriska värmepumpar samt tillverkning, lagring och distribution av vätgas.</w:t>
      </w:r>
    </w:p>
    <w:p w14:paraId="0BECED88" w14:textId="77777777" w:rsidR="007D5C28" w:rsidRDefault="007D5C28" w:rsidP="007D5C28">
      <w:pPr>
        <w:numPr>
          <w:ilvl w:val="0"/>
          <w:numId w:val="1"/>
        </w:numPr>
        <w:spacing w:after="200" w:line="240" w:lineRule="auto"/>
        <w:contextualSpacing/>
        <w:rPr>
          <w:rFonts w:ascii="Times New Roman" w:eastAsia="Times New Roman" w:hAnsi="Times New Roman" w:cs="Times New Roman"/>
          <w:kern w:val="0"/>
          <w:lang w:eastAsia="sv-SE"/>
          <w14:ligatures w14:val="none"/>
        </w:rPr>
      </w:pPr>
      <w:r w:rsidRPr="007D5C28">
        <w:rPr>
          <w:rFonts w:ascii="Times New Roman" w:eastAsia="Times New Roman" w:hAnsi="Times New Roman" w:cs="Times New Roman"/>
          <w:kern w:val="0"/>
          <w:lang w:eastAsia="sv-SE"/>
          <w14:ligatures w14:val="none"/>
        </w:rPr>
        <w:t xml:space="preserve">Med undantag för solenergi och vindkraft omfattas underkategorier nu av konkreta kriterier som behöver uppfyllas för att Grönt lån ska kunna beviljas. </w:t>
      </w:r>
    </w:p>
    <w:p w14:paraId="56040339" w14:textId="77777777" w:rsidR="007D5C28" w:rsidRPr="007D5C28" w:rsidRDefault="007D5C28" w:rsidP="007D5C28">
      <w:pPr>
        <w:spacing w:after="200" w:line="240" w:lineRule="auto"/>
        <w:ind w:left="720"/>
        <w:contextualSpacing/>
        <w:rPr>
          <w:rFonts w:ascii="Times New Roman" w:eastAsia="Times New Roman" w:hAnsi="Times New Roman" w:cs="Times New Roman"/>
          <w:kern w:val="0"/>
          <w:lang w:eastAsia="sv-SE"/>
          <w14:ligatures w14:val="none"/>
        </w:rPr>
      </w:pPr>
    </w:p>
    <w:p w14:paraId="1B613FF1" w14:textId="77777777" w:rsidR="007D5C28" w:rsidRPr="007D5C28" w:rsidRDefault="007D5C28" w:rsidP="007D5C28">
      <w:pPr>
        <w:keepNext/>
        <w:keepLines/>
        <w:spacing w:before="200" w:after="0" w:line="276" w:lineRule="auto"/>
        <w:outlineLvl w:val="2"/>
        <w:rPr>
          <w:rFonts w:ascii="Arial" w:eastAsia="MS Gothic" w:hAnsi="Arial" w:cs="Times New Roman"/>
          <w:b/>
          <w:bCs/>
          <w:kern w:val="0"/>
          <w:sz w:val="20"/>
          <w:szCs w:val="22"/>
          <w14:ligatures w14:val="none"/>
        </w:rPr>
      </w:pPr>
      <w:r w:rsidRPr="007D5C28">
        <w:rPr>
          <w:rFonts w:ascii="Arial" w:eastAsia="MS Gothic" w:hAnsi="Arial" w:cs="Times New Roman"/>
          <w:b/>
          <w:bCs/>
          <w:kern w:val="0"/>
          <w:sz w:val="20"/>
          <w:szCs w:val="22"/>
          <w14:ligatures w14:val="none"/>
        </w:rPr>
        <w:t xml:space="preserve">Energieffektivisering </w:t>
      </w:r>
    </w:p>
    <w:p w14:paraId="7CDEC99A" w14:textId="77777777" w:rsidR="007D5C28" w:rsidRPr="007D5C28" w:rsidRDefault="007D5C28" w:rsidP="007D5C28">
      <w:pPr>
        <w:numPr>
          <w:ilvl w:val="0"/>
          <w:numId w:val="2"/>
        </w:numPr>
        <w:spacing w:after="200" w:line="240" w:lineRule="auto"/>
        <w:contextualSpacing/>
        <w:rPr>
          <w:rFonts w:ascii="Times New Roman" w:eastAsia="Times New Roman" w:hAnsi="Times New Roman" w:cs="Times New Roman"/>
          <w:kern w:val="0"/>
          <w:lang w:eastAsia="sv-SE"/>
          <w14:ligatures w14:val="none"/>
        </w:rPr>
      </w:pPr>
      <w:r w:rsidRPr="007D5C28">
        <w:rPr>
          <w:rFonts w:ascii="Times New Roman" w:eastAsia="Times New Roman" w:hAnsi="Times New Roman" w:cs="Times New Roman"/>
          <w:kern w:val="0"/>
          <w:lang w:eastAsia="sv-SE"/>
          <w14:ligatures w14:val="none"/>
        </w:rPr>
        <w:t xml:space="preserve">Flera aktiviteter som tidigare låg i projektkategorin Förnybar energi har flyttats till projektkategorin Energieffektivisering. </w:t>
      </w:r>
    </w:p>
    <w:p w14:paraId="09E91CF9" w14:textId="77777777" w:rsidR="007D5C28" w:rsidRPr="007D5C28" w:rsidRDefault="007D5C28" w:rsidP="007D5C28">
      <w:pPr>
        <w:numPr>
          <w:ilvl w:val="0"/>
          <w:numId w:val="2"/>
        </w:numPr>
        <w:spacing w:after="0" w:line="240" w:lineRule="auto"/>
        <w:contextualSpacing/>
        <w:rPr>
          <w:rFonts w:ascii="Times New Roman" w:eastAsia="Times New Roman" w:hAnsi="Times New Roman" w:cs="Times New Roman"/>
          <w:kern w:val="0"/>
          <w:lang w:eastAsia="sv-SE"/>
          <w14:ligatures w14:val="none"/>
        </w:rPr>
      </w:pPr>
      <w:r w:rsidRPr="007D5C28">
        <w:rPr>
          <w:rFonts w:ascii="Times New Roman" w:eastAsia="Times New Roman" w:hAnsi="Times New Roman" w:cs="Times New Roman"/>
          <w:kern w:val="0"/>
          <w:lang w:eastAsia="sv-SE"/>
          <w14:ligatures w14:val="none"/>
        </w:rPr>
        <w:t>Det tidigare kravet på att energieffektiviseringsåtgärder inom diverse kommunala aktiviteter och verksamheter ska leda till minst 30 procent lägre energianvändning har utgått. I stället ska, för samtliga underkategorier, storleken på energianvändning före respektive efter projektet redovisas.</w:t>
      </w:r>
    </w:p>
    <w:p w14:paraId="4F093208" w14:textId="77777777" w:rsidR="007D5C28" w:rsidRPr="007D5C28" w:rsidRDefault="007D5C28" w:rsidP="007D5C28">
      <w:pPr>
        <w:numPr>
          <w:ilvl w:val="0"/>
          <w:numId w:val="2"/>
        </w:numPr>
        <w:spacing w:after="0" w:line="240" w:lineRule="auto"/>
        <w:contextualSpacing/>
        <w:rPr>
          <w:rFonts w:ascii="Times New Roman" w:eastAsia="Times New Roman" w:hAnsi="Times New Roman" w:cs="Times New Roman"/>
          <w:kern w:val="0"/>
          <w14:ligatures w14:val="none"/>
        </w:rPr>
      </w:pPr>
      <w:r w:rsidRPr="007D5C28">
        <w:rPr>
          <w:rFonts w:ascii="Times New Roman" w:eastAsia="Times New Roman" w:hAnsi="Times New Roman" w:cs="Times New Roman"/>
          <w:kern w:val="0"/>
          <w:lang w:eastAsia="sv-SE"/>
          <w14:ligatures w14:val="none"/>
        </w:rPr>
        <w:t xml:space="preserve">Samtliga underkategorier kommer </w:t>
      </w:r>
      <w:proofErr w:type="gramStart"/>
      <w:r w:rsidRPr="007D5C28">
        <w:rPr>
          <w:rFonts w:ascii="Times New Roman" w:eastAsia="Times New Roman" w:hAnsi="Times New Roman" w:cs="Times New Roman"/>
          <w:kern w:val="0"/>
          <w:lang w:eastAsia="sv-SE"/>
          <w14:ligatures w14:val="none"/>
        </w:rPr>
        <w:t>istället</w:t>
      </w:r>
      <w:proofErr w:type="gramEnd"/>
      <w:r w:rsidRPr="007D5C28">
        <w:rPr>
          <w:rFonts w:ascii="Times New Roman" w:eastAsia="Times New Roman" w:hAnsi="Times New Roman" w:cs="Times New Roman"/>
          <w:kern w:val="0"/>
          <w:lang w:eastAsia="sv-SE"/>
          <w14:ligatures w14:val="none"/>
        </w:rPr>
        <w:t xml:space="preserve"> att omfattas av konkreta kriterier som syftar till minskad klimatpåverkan, t.ex. krav på detektering av metanläckage. </w:t>
      </w:r>
    </w:p>
    <w:p w14:paraId="2ED131E0" w14:textId="77777777" w:rsidR="007D5C28" w:rsidRPr="007D5C28" w:rsidRDefault="007D5C28" w:rsidP="007D5C28">
      <w:pPr>
        <w:keepNext/>
        <w:keepLines/>
        <w:spacing w:before="200" w:after="0" w:line="276" w:lineRule="auto"/>
        <w:outlineLvl w:val="2"/>
        <w:rPr>
          <w:rFonts w:ascii="Arial" w:eastAsia="MS Gothic" w:hAnsi="Arial" w:cs="Times New Roman"/>
          <w:b/>
          <w:bCs/>
          <w:kern w:val="0"/>
          <w:sz w:val="20"/>
          <w:szCs w:val="22"/>
          <w14:ligatures w14:val="none"/>
        </w:rPr>
      </w:pPr>
      <w:r w:rsidRPr="007D5C28">
        <w:rPr>
          <w:rFonts w:ascii="Arial" w:eastAsia="MS Gothic" w:hAnsi="Arial" w:cs="Times New Roman"/>
          <w:b/>
          <w:bCs/>
          <w:kern w:val="0"/>
          <w:sz w:val="20"/>
          <w:szCs w:val="22"/>
          <w14:ligatures w14:val="none"/>
        </w:rPr>
        <w:t xml:space="preserve">Avfallshantering/Förebyggande och kontroll av föroreningar/kontroll av växthusgasutsläpp </w:t>
      </w:r>
    </w:p>
    <w:p w14:paraId="2A733777" w14:textId="77777777" w:rsidR="007D5C28" w:rsidRPr="007D5C28" w:rsidRDefault="007D5C28" w:rsidP="007D5C28">
      <w:pPr>
        <w:numPr>
          <w:ilvl w:val="0"/>
          <w:numId w:val="3"/>
        </w:numPr>
        <w:spacing w:after="0" w:line="240" w:lineRule="auto"/>
        <w:contextualSpacing/>
        <w:rPr>
          <w:rFonts w:ascii="Times New Roman" w:eastAsia="Times New Roman" w:hAnsi="Times New Roman" w:cs="Times New Roman"/>
          <w:kern w:val="0"/>
          <w14:ligatures w14:val="none"/>
        </w:rPr>
      </w:pPr>
      <w:r w:rsidRPr="007D5C28">
        <w:rPr>
          <w:rFonts w:ascii="Times New Roman" w:eastAsia="Times New Roman" w:hAnsi="Times New Roman" w:cs="Times New Roman"/>
          <w:kern w:val="0"/>
          <w:lang w:eastAsia="sv-SE"/>
          <w14:ligatures w14:val="none"/>
        </w:rPr>
        <w:t>Projektkategorin omfattar fler verksamheter än tidigare, utöver avfallshantering medges Gröna lån också för:</w:t>
      </w:r>
    </w:p>
    <w:p w14:paraId="2123A8F3" w14:textId="77777777" w:rsidR="007D5C28" w:rsidRPr="007D5C28" w:rsidRDefault="007D5C28" w:rsidP="007D5C28">
      <w:pPr>
        <w:numPr>
          <w:ilvl w:val="1"/>
          <w:numId w:val="3"/>
        </w:numPr>
        <w:spacing w:after="0" w:line="240" w:lineRule="auto"/>
        <w:ind w:left="924" w:hanging="357"/>
        <w:contextualSpacing/>
        <w:rPr>
          <w:rFonts w:ascii="Times New Roman" w:eastAsia="Times New Roman" w:hAnsi="Times New Roman" w:cs="Times New Roman"/>
          <w:kern w:val="0"/>
          <w14:ligatures w14:val="none"/>
        </w:rPr>
      </w:pPr>
      <w:r w:rsidRPr="007D5C28">
        <w:rPr>
          <w:rFonts w:ascii="Times New Roman" w:eastAsia="Times New Roman" w:hAnsi="Times New Roman" w:cs="Times New Roman"/>
          <w:kern w:val="0"/>
          <w:lang w:eastAsia="sv-SE"/>
          <w14:ligatures w14:val="none"/>
        </w:rPr>
        <w:t>Anläggningar som använder avfallsförbränning för att producera värme/kyla/el</w:t>
      </w:r>
    </w:p>
    <w:p w14:paraId="70152826" w14:textId="77777777" w:rsidR="007D5C28" w:rsidRPr="007D5C28" w:rsidRDefault="007D5C28" w:rsidP="007D5C28">
      <w:pPr>
        <w:numPr>
          <w:ilvl w:val="1"/>
          <w:numId w:val="3"/>
        </w:numPr>
        <w:spacing w:after="0" w:line="240" w:lineRule="auto"/>
        <w:ind w:left="924" w:hanging="357"/>
        <w:contextualSpacing/>
        <w:rPr>
          <w:rFonts w:ascii="Times New Roman" w:eastAsia="Times New Roman" w:hAnsi="Times New Roman" w:cs="Times New Roman"/>
          <w:kern w:val="0"/>
          <w14:ligatures w14:val="none"/>
        </w:rPr>
      </w:pPr>
      <w:r w:rsidRPr="007D5C28">
        <w:rPr>
          <w:rFonts w:ascii="Times New Roman" w:eastAsia="Times New Roman" w:hAnsi="Times New Roman" w:cs="Times New Roman"/>
          <w:kern w:val="0"/>
          <w:lang w:eastAsia="sv-SE"/>
          <w14:ligatures w14:val="none"/>
        </w:rPr>
        <w:t>Sanering av deponier och förorenade områden</w:t>
      </w:r>
    </w:p>
    <w:p w14:paraId="76B22AA5" w14:textId="77777777" w:rsidR="007D5C28" w:rsidRPr="007D5C28" w:rsidRDefault="007D5C28" w:rsidP="007D5C28">
      <w:pPr>
        <w:numPr>
          <w:ilvl w:val="1"/>
          <w:numId w:val="3"/>
        </w:numPr>
        <w:spacing w:after="0" w:line="240" w:lineRule="auto"/>
        <w:ind w:left="924" w:hanging="357"/>
        <w:contextualSpacing/>
        <w:rPr>
          <w:rFonts w:ascii="Times New Roman" w:eastAsia="Times New Roman" w:hAnsi="Times New Roman" w:cs="Times New Roman"/>
          <w:kern w:val="0"/>
          <w14:ligatures w14:val="none"/>
        </w:rPr>
      </w:pPr>
      <w:r w:rsidRPr="007D5C28">
        <w:rPr>
          <w:rFonts w:ascii="Times New Roman" w:eastAsia="Times New Roman" w:hAnsi="Times New Roman" w:cs="Times New Roman"/>
          <w:kern w:val="0"/>
          <w:lang w:eastAsia="sv-SE"/>
          <w14:ligatures w14:val="none"/>
        </w:rPr>
        <w:t xml:space="preserve">Koldioxidavskiljning, -användning och -lagring </w:t>
      </w:r>
    </w:p>
    <w:p w14:paraId="2C1AEB10" w14:textId="3A4B079D" w:rsidR="007D5C28" w:rsidRPr="007D5C28" w:rsidRDefault="007D5C28" w:rsidP="007D5C28">
      <w:pPr>
        <w:numPr>
          <w:ilvl w:val="0"/>
          <w:numId w:val="2"/>
        </w:numPr>
        <w:spacing w:after="200" w:line="240" w:lineRule="auto"/>
        <w:contextualSpacing/>
        <w:rPr>
          <w:rFonts w:ascii="Times New Roman" w:eastAsia="Times New Roman" w:hAnsi="Times New Roman" w:cs="Times New Roman"/>
          <w:kern w:val="0"/>
          <w:lang w:eastAsia="sv-SE"/>
          <w14:ligatures w14:val="none"/>
        </w:rPr>
      </w:pPr>
      <w:r w:rsidRPr="007D5C28">
        <w:rPr>
          <w:rFonts w:ascii="Times New Roman" w:eastAsia="Times New Roman" w:hAnsi="Times New Roman" w:cs="Times New Roman"/>
          <w:kern w:val="0"/>
          <w:lang w:eastAsia="sv-SE"/>
          <w14:ligatures w14:val="none"/>
        </w:rPr>
        <w:t xml:space="preserve">Samtliga underkategorier omfattas av konkreta kriterier som behöver vara uppfyllda för att Gröna lån ska kunna beviljas, </w:t>
      </w:r>
      <w:proofErr w:type="spellStart"/>
      <w:proofErr w:type="gramStart"/>
      <w:r w:rsidRPr="007D5C28">
        <w:rPr>
          <w:rFonts w:ascii="Times New Roman" w:eastAsia="Times New Roman" w:hAnsi="Times New Roman" w:cs="Times New Roman"/>
          <w:kern w:val="0"/>
          <w:lang w:eastAsia="sv-SE"/>
          <w14:ligatures w14:val="none"/>
        </w:rPr>
        <w:t>t.ex</w:t>
      </w:r>
      <w:proofErr w:type="spellEnd"/>
      <w:proofErr w:type="gramEnd"/>
      <w:r w:rsidRPr="007D5C28">
        <w:rPr>
          <w:rFonts w:ascii="Times New Roman" w:eastAsia="Times New Roman" w:hAnsi="Times New Roman" w:cs="Times New Roman"/>
          <w:kern w:val="0"/>
          <w:lang w:eastAsia="sv-SE"/>
          <w14:ligatures w14:val="none"/>
        </w:rPr>
        <w:t xml:space="preserve"> kriterier för hur avfallsfraktioner som inte kan återvinnas ska behandlas. </w:t>
      </w:r>
    </w:p>
    <w:p w14:paraId="1FB886AD" w14:textId="77777777" w:rsidR="007D5C28" w:rsidRPr="007D5C28" w:rsidRDefault="007D5C28" w:rsidP="007D5C28">
      <w:pPr>
        <w:spacing w:after="200" w:line="276" w:lineRule="auto"/>
        <w:rPr>
          <w:rFonts w:ascii="Arial" w:eastAsia="MS Gothic" w:hAnsi="Arial" w:cs="Times New Roman"/>
          <w:b/>
          <w:bCs/>
          <w:kern w:val="0"/>
          <w:sz w:val="20"/>
          <w:szCs w:val="22"/>
          <w14:ligatures w14:val="none"/>
        </w:rPr>
      </w:pPr>
      <w:r w:rsidRPr="007D5C28">
        <w:rPr>
          <w:rFonts w:ascii="Times New Roman" w:eastAsia="Times New Roman" w:hAnsi="Times New Roman" w:cs="Times New Roman"/>
          <w:kern w:val="0"/>
          <w:lang w:eastAsia="sv-SE"/>
          <w14:ligatures w14:val="none"/>
        </w:rPr>
        <w:br w:type="page"/>
      </w:r>
    </w:p>
    <w:p w14:paraId="051367BA" w14:textId="77777777" w:rsidR="007D5C28" w:rsidRPr="007D5C28" w:rsidRDefault="007D5C28" w:rsidP="007D5C28">
      <w:pPr>
        <w:keepNext/>
        <w:keepLines/>
        <w:spacing w:before="200" w:after="0" w:line="276" w:lineRule="auto"/>
        <w:outlineLvl w:val="2"/>
        <w:rPr>
          <w:rFonts w:ascii="Arial" w:eastAsia="MS Gothic" w:hAnsi="Arial" w:cs="Times New Roman"/>
          <w:b/>
          <w:bCs/>
          <w:kern w:val="0"/>
          <w:sz w:val="20"/>
          <w:szCs w:val="22"/>
          <w14:ligatures w14:val="none"/>
        </w:rPr>
      </w:pPr>
      <w:r w:rsidRPr="007D5C28">
        <w:rPr>
          <w:rFonts w:ascii="Arial" w:eastAsia="MS Gothic" w:hAnsi="Arial" w:cs="Times New Roman"/>
          <w:b/>
          <w:bCs/>
          <w:kern w:val="0"/>
          <w:sz w:val="20"/>
          <w:szCs w:val="22"/>
          <w14:ligatures w14:val="none"/>
        </w:rPr>
        <w:lastRenderedPageBreak/>
        <w:t xml:space="preserve">Gröna byggnader </w:t>
      </w:r>
    </w:p>
    <w:p w14:paraId="547F0BFB" w14:textId="77777777" w:rsidR="007D5C28" w:rsidRPr="007D5C28" w:rsidRDefault="007D5C28" w:rsidP="007D5C28">
      <w:pPr>
        <w:spacing w:after="0" w:line="240" w:lineRule="auto"/>
        <w:rPr>
          <w:rFonts w:ascii="Times New Roman" w:eastAsia="Times New Roman" w:hAnsi="Times New Roman" w:cs="Times New Roman"/>
          <w:kern w:val="0"/>
          <w:u w:val="single"/>
          <w:lang w:eastAsia="sv-SE"/>
          <w14:ligatures w14:val="none"/>
        </w:rPr>
      </w:pPr>
    </w:p>
    <w:p w14:paraId="28FB8BFA" w14:textId="77777777" w:rsidR="007D5C28" w:rsidRPr="007D5C28" w:rsidRDefault="007D5C28" w:rsidP="007D5C28">
      <w:pPr>
        <w:spacing w:after="0" w:line="240" w:lineRule="auto"/>
        <w:rPr>
          <w:rFonts w:ascii="Times New Roman" w:eastAsia="Times New Roman" w:hAnsi="Times New Roman" w:cs="Times New Roman"/>
          <w:kern w:val="0"/>
          <w:u w:val="single"/>
          <w:lang w:eastAsia="sv-SE"/>
          <w14:ligatures w14:val="none"/>
        </w:rPr>
      </w:pPr>
      <w:r w:rsidRPr="007D5C28">
        <w:rPr>
          <w:rFonts w:ascii="Times New Roman" w:eastAsia="Times New Roman" w:hAnsi="Times New Roman" w:cs="Times New Roman"/>
          <w:kern w:val="0"/>
          <w:u w:val="single"/>
          <w:lang w:eastAsia="sv-SE"/>
          <w14:ligatures w14:val="none"/>
        </w:rPr>
        <w:t>Nya byggnader</w:t>
      </w:r>
    </w:p>
    <w:p w14:paraId="5535CFF5" w14:textId="77777777" w:rsidR="007D5C28" w:rsidRPr="007D5C28" w:rsidRDefault="007D5C28" w:rsidP="007D5C28">
      <w:pPr>
        <w:numPr>
          <w:ilvl w:val="0"/>
          <w:numId w:val="2"/>
        </w:numPr>
        <w:spacing w:after="0" w:line="240" w:lineRule="auto"/>
        <w:contextualSpacing/>
        <w:rPr>
          <w:rFonts w:ascii="Times New Roman" w:eastAsia="Times New Roman" w:hAnsi="Times New Roman" w:cs="Times New Roman"/>
          <w:kern w:val="0"/>
          <w:lang w:eastAsia="sv-SE"/>
          <w14:ligatures w14:val="none"/>
        </w:rPr>
      </w:pPr>
      <w:r w:rsidRPr="007D5C28">
        <w:rPr>
          <w:rFonts w:ascii="Times New Roman" w:eastAsia="Times New Roman" w:hAnsi="Times New Roman" w:cs="Times New Roman"/>
          <w:kern w:val="0"/>
          <w:lang w:eastAsia="sv-SE"/>
          <w14:ligatures w14:val="none"/>
        </w:rPr>
        <w:t>För nya byggnader större än 5000 m</w:t>
      </w:r>
      <w:r w:rsidRPr="007D5C28">
        <w:rPr>
          <w:rFonts w:ascii="Times New Roman" w:eastAsia="Times New Roman" w:hAnsi="Times New Roman" w:cs="Times New Roman"/>
          <w:kern w:val="0"/>
          <w:vertAlign w:val="superscript"/>
          <w:lang w:eastAsia="sv-SE"/>
          <w14:ligatures w14:val="none"/>
        </w:rPr>
        <w:t>2</w:t>
      </w:r>
      <w:r w:rsidRPr="007D5C28">
        <w:rPr>
          <w:rFonts w:ascii="Times New Roman" w:eastAsia="Times New Roman" w:hAnsi="Times New Roman" w:cs="Times New Roman"/>
          <w:kern w:val="0"/>
          <w:lang w:eastAsia="sv-SE"/>
          <w14:ligatures w14:val="none"/>
        </w:rPr>
        <w:t xml:space="preserve"> tillkommer</w:t>
      </w:r>
      <w:r w:rsidRPr="007D5C28">
        <w:rPr>
          <w:rFonts w:ascii="Times New Roman" w:eastAsia="Times New Roman" w:hAnsi="Times New Roman" w:cs="Times New Roman"/>
          <w:kern w:val="0"/>
          <w:vertAlign w:val="superscript"/>
          <w:lang w:eastAsia="sv-SE"/>
          <w14:ligatures w14:val="none"/>
        </w:rPr>
        <w:t xml:space="preserve"> </w:t>
      </w:r>
      <w:r w:rsidRPr="007D5C28">
        <w:rPr>
          <w:rFonts w:ascii="Times New Roman" w:eastAsia="Times New Roman" w:hAnsi="Times New Roman" w:cs="Times New Roman"/>
          <w:kern w:val="0"/>
          <w:lang w:eastAsia="sv-SE"/>
          <w14:ligatures w14:val="none"/>
        </w:rPr>
        <w:t>krav på att mäta lufttäthet och termisk integritet.</w:t>
      </w:r>
    </w:p>
    <w:p w14:paraId="0C77D78D" w14:textId="77777777" w:rsidR="007D5C28" w:rsidRPr="007D5C28" w:rsidRDefault="007D5C28" w:rsidP="007D5C28">
      <w:pPr>
        <w:numPr>
          <w:ilvl w:val="0"/>
          <w:numId w:val="2"/>
        </w:numPr>
        <w:spacing w:after="0" w:line="240" w:lineRule="auto"/>
        <w:contextualSpacing/>
        <w:rPr>
          <w:rFonts w:ascii="Times New Roman" w:eastAsia="Times New Roman" w:hAnsi="Times New Roman" w:cs="Times New Roman"/>
          <w:kern w:val="0"/>
          <w:lang w:eastAsia="sv-SE"/>
          <w14:ligatures w14:val="none"/>
        </w:rPr>
      </w:pPr>
      <w:r w:rsidRPr="007D5C28">
        <w:rPr>
          <w:rFonts w:ascii="Times New Roman" w:eastAsia="Times New Roman" w:hAnsi="Times New Roman" w:cs="Times New Roman"/>
          <w:kern w:val="0"/>
          <w:lang w:eastAsia="sv-SE"/>
          <w14:ligatures w14:val="none"/>
        </w:rPr>
        <w:t>Ramverket specificerar nu att med ”klimatförbättrad betong” avses betong som har minst 20 procent lägre klimatpåverkan än aktuell branschreferensnivå. (Detta innebär, som ett minimum, användning av klimatförbättrad betong motsvarande nivå 2 enligt Svensk Betongs vägledning Klimatförbättrad betong (utgåva 2).) Tidigare var kravet inte specificerat.</w:t>
      </w:r>
    </w:p>
    <w:p w14:paraId="6C950520" w14:textId="77777777" w:rsidR="007D5C28" w:rsidRPr="007D5C28" w:rsidRDefault="007D5C28" w:rsidP="007D5C28">
      <w:pPr>
        <w:numPr>
          <w:ilvl w:val="0"/>
          <w:numId w:val="4"/>
        </w:numPr>
        <w:spacing w:after="0" w:line="240" w:lineRule="auto"/>
        <w:contextualSpacing/>
        <w:rPr>
          <w:rFonts w:ascii="Times New Roman" w:eastAsia="Times New Roman" w:hAnsi="Times New Roman" w:cs="Times New Roman"/>
          <w:kern w:val="0"/>
          <w:lang w:eastAsia="sv-SE"/>
          <w14:ligatures w14:val="none"/>
        </w:rPr>
      </w:pPr>
      <w:r w:rsidRPr="007D5C28">
        <w:rPr>
          <w:rFonts w:ascii="Times New Roman" w:eastAsia="Times New Roman" w:hAnsi="Times New Roman" w:cs="Times New Roman"/>
          <w:kern w:val="0"/>
          <w:lang w:eastAsia="sv-SE"/>
          <w14:ligatures w14:val="none"/>
        </w:rPr>
        <w:t xml:space="preserve">Det tidigare kravet om att för vissa byggnader och inför finansiering redovisa en beräknad klimatpåverkan inför byggnationen har ersatts med krav på att kunna erhålla klimatdeklaration i enlighet med svensk lagstiftning. För byggnader där klimatberäkning finns redan vid tidpunkt för ansökan, ska upplysningar lämnas dels om beräkningsresultat dels om/hur beräkningen beaktas i upphandlingen. </w:t>
      </w:r>
    </w:p>
    <w:p w14:paraId="2BF292B7" w14:textId="77777777" w:rsidR="007D5C28" w:rsidRPr="007D5C28" w:rsidRDefault="007D5C28" w:rsidP="007D5C28">
      <w:pPr>
        <w:spacing w:after="0" w:line="240" w:lineRule="auto"/>
        <w:rPr>
          <w:rFonts w:ascii="Times New Roman" w:eastAsia="Times New Roman" w:hAnsi="Times New Roman" w:cs="Times New Roman"/>
          <w:kern w:val="0"/>
          <w:lang w:eastAsia="sv-SE"/>
          <w14:ligatures w14:val="none"/>
        </w:rPr>
      </w:pPr>
    </w:p>
    <w:p w14:paraId="13F33426" w14:textId="77777777" w:rsidR="007D5C28" w:rsidRPr="007D5C28" w:rsidRDefault="007D5C28" w:rsidP="007D5C28">
      <w:pPr>
        <w:spacing w:after="0" w:line="240" w:lineRule="auto"/>
        <w:rPr>
          <w:rFonts w:ascii="Times New Roman" w:eastAsia="Times New Roman" w:hAnsi="Times New Roman" w:cs="Times New Roman"/>
          <w:kern w:val="0"/>
          <w:u w:val="single"/>
          <w:lang w:eastAsia="sv-SE"/>
          <w14:ligatures w14:val="none"/>
        </w:rPr>
      </w:pPr>
      <w:r w:rsidRPr="007D5C28">
        <w:rPr>
          <w:rFonts w:ascii="Times New Roman" w:eastAsia="Times New Roman" w:hAnsi="Times New Roman" w:cs="Times New Roman"/>
          <w:kern w:val="0"/>
          <w:u w:val="single"/>
          <w:lang w:eastAsia="sv-SE"/>
          <w14:ligatures w14:val="none"/>
        </w:rPr>
        <w:t>Befintliga byggnader</w:t>
      </w:r>
    </w:p>
    <w:p w14:paraId="74245C16" w14:textId="77777777" w:rsidR="007D5C28" w:rsidRPr="007D5C28" w:rsidRDefault="007D5C28" w:rsidP="007D5C28">
      <w:pPr>
        <w:numPr>
          <w:ilvl w:val="0"/>
          <w:numId w:val="4"/>
        </w:numPr>
        <w:spacing w:after="0" w:line="240" w:lineRule="auto"/>
        <w:contextualSpacing/>
        <w:rPr>
          <w:rFonts w:ascii="Times New Roman" w:eastAsia="Times New Roman" w:hAnsi="Times New Roman" w:cs="Times New Roman"/>
          <w:kern w:val="0"/>
          <w:lang w:eastAsia="sv-SE"/>
          <w14:ligatures w14:val="none"/>
        </w:rPr>
      </w:pPr>
      <w:r w:rsidRPr="007D5C28">
        <w:rPr>
          <w:rFonts w:ascii="Times New Roman" w:eastAsia="Times New Roman" w:hAnsi="Times New Roman" w:cs="Times New Roman"/>
          <w:kern w:val="0"/>
          <w:lang w:eastAsia="sv-SE"/>
          <w14:ligatures w14:val="none"/>
        </w:rPr>
        <w:t>Inga förändringar. De krav som finns sedan tidigare, dvs. att befintliga byggnader ska kunna redovisa en energiprestanda som är minst 20 procent lägre än lagkravet för nyproduktion, har av Miljökommittén bedömts som tillräckligt ambitiöst.</w:t>
      </w:r>
    </w:p>
    <w:p w14:paraId="31EDA05E" w14:textId="77777777" w:rsidR="007D5C28" w:rsidRPr="007D5C28" w:rsidRDefault="007D5C28" w:rsidP="007D5C28">
      <w:pPr>
        <w:spacing w:after="0" w:line="240" w:lineRule="auto"/>
        <w:rPr>
          <w:rFonts w:ascii="Times New Roman" w:eastAsia="Times New Roman" w:hAnsi="Times New Roman" w:cs="Times New Roman"/>
          <w:kern w:val="0"/>
          <w:lang w:eastAsia="sv-SE"/>
          <w14:ligatures w14:val="none"/>
        </w:rPr>
      </w:pPr>
    </w:p>
    <w:p w14:paraId="042E110A" w14:textId="77777777" w:rsidR="007D5C28" w:rsidRPr="007D5C28" w:rsidRDefault="007D5C28" w:rsidP="007D5C28">
      <w:pPr>
        <w:spacing w:after="0" w:line="240" w:lineRule="auto"/>
        <w:rPr>
          <w:rFonts w:ascii="Times New Roman" w:eastAsia="Times New Roman" w:hAnsi="Times New Roman" w:cs="Times New Roman"/>
          <w:kern w:val="0"/>
          <w:u w:val="single"/>
          <w:lang w:eastAsia="sv-SE"/>
          <w14:ligatures w14:val="none"/>
        </w:rPr>
      </w:pPr>
      <w:r w:rsidRPr="007D5C28">
        <w:rPr>
          <w:rFonts w:ascii="Times New Roman" w:eastAsia="Times New Roman" w:hAnsi="Times New Roman" w:cs="Times New Roman"/>
          <w:kern w:val="0"/>
          <w:u w:val="single"/>
          <w:lang w:eastAsia="sv-SE"/>
          <w14:ligatures w14:val="none"/>
        </w:rPr>
        <w:t>Större renoveringar</w:t>
      </w:r>
    </w:p>
    <w:p w14:paraId="76506CC5" w14:textId="77777777" w:rsidR="007D5C28" w:rsidRPr="007D5C28" w:rsidRDefault="007D5C28" w:rsidP="007D5C28">
      <w:pPr>
        <w:numPr>
          <w:ilvl w:val="0"/>
          <w:numId w:val="4"/>
        </w:numPr>
        <w:spacing w:after="0" w:line="240" w:lineRule="auto"/>
        <w:contextualSpacing/>
        <w:rPr>
          <w:rFonts w:ascii="Times New Roman" w:eastAsia="Times New Roman" w:hAnsi="Times New Roman" w:cs="Times New Roman"/>
          <w:kern w:val="0"/>
          <w:lang w:eastAsia="sv-SE"/>
          <w14:ligatures w14:val="none"/>
        </w:rPr>
      </w:pPr>
      <w:r w:rsidRPr="007D5C28">
        <w:rPr>
          <w:rFonts w:ascii="Times New Roman" w:eastAsia="Times New Roman" w:hAnsi="Times New Roman" w:cs="Times New Roman"/>
          <w:kern w:val="0"/>
          <w:lang w:eastAsia="sv-SE"/>
          <w14:ligatures w14:val="none"/>
        </w:rPr>
        <w:t>Inga förändringar. De krav som finns sedan tidigare, dvs. att för större renoveringar kunna redovisa en minskad energianvändning om minst 30 procent. är i enlighet med EU-taxonomin och har av Miljökommittén bedömts som tillräckligt ambitiöst.</w:t>
      </w:r>
    </w:p>
    <w:p w14:paraId="0669ADFE" w14:textId="77777777" w:rsidR="007D5C28" w:rsidRPr="007D5C28" w:rsidRDefault="007D5C28" w:rsidP="007D5C28">
      <w:pPr>
        <w:spacing w:after="0" w:line="240" w:lineRule="auto"/>
        <w:rPr>
          <w:rFonts w:ascii="Times New Roman" w:eastAsia="Times New Roman" w:hAnsi="Times New Roman" w:cs="Times New Roman"/>
          <w:kern w:val="0"/>
          <w:lang w:eastAsia="sv-SE"/>
          <w14:ligatures w14:val="none"/>
        </w:rPr>
      </w:pPr>
    </w:p>
    <w:p w14:paraId="1F449675" w14:textId="77777777" w:rsidR="007D5C28" w:rsidRPr="007D5C28" w:rsidRDefault="007D5C28" w:rsidP="007D5C28">
      <w:pPr>
        <w:spacing w:after="0" w:line="240" w:lineRule="auto"/>
        <w:rPr>
          <w:rFonts w:ascii="Times New Roman" w:eastAsia="Times New Roman" w:hAnsi="Times New Roman" w:cs="Times New Roman"/>
          <w:kern w:val="0"/>
          <w:u w:val="single"/>
          <w:lang w:eastAsia="sv-SE"/>
          <w14:ligatures w14:val="none"/>
        </w:rPr>
      </w:pPr>
      <w:r w:rsidRPr="007D5C28">
        <w:rPr>
          <w:rFonts w:ascii="Times New Roman" w:eastAsia="Times New Roman" w:hAnsi="Times New Roman" w:cs="Times New Roman"/>
          <w:kern w:val="0"/>
          <w:u w:val="single"/>
          <w:lang w:eastAsia="sv-SE"/>
          <w14:ligatures w14:val="none"/>
        </w:rPr>
        <w:t xml:space="preserve">Övriga åtgärder som rör energieffektivitet i byggnader </w:t>
      </w:r>
    </w:p>
    <w:p w14:paraId="254CCE4A" w14:textId="77777777" w:rsidR="007D5C28" w:rsidRPr="007D5C28" w:rsidRDefault="007D5C28" w:rsidP="007D5C28">
      <w:pPr>
        <w:numPr>
          <w:ilvl w:val="0"/>
          <w:numId w:val="4"/>
        </w:numPr>
        <w:spacing w:after="0" w:line="240" w:lineRule="auto"/>
        <w:contextualSpacing/>
        <w:rPr>
          <w:rFonts w:ascii="Times New Roman" w:eastAsia="Times New Roman" w:hAnsi="Times New Roman" w:cs="Times New Roman"/>
          <w:kern w:val="0"/>
          <w:lang w:eastAsia="sv-SE"/>
          <w14:ligatures w14:val="none"/>
        </w:rPr>
      </w:pPr>
      <w:r w:rsidRPr="007D5C28">
        <w:rPr>
          <w:rFonts w:ascii="Times New Roman" w:eastAsia="Times New Roman" w:hAnsi="Times New Roman" w:cs="Times New Roman"/>
          <w:kern w:val="0"/>
          <w:lang w:eastAsia="sv-SE"/>
          <w14:ligatures w14:val="none"/>
        </w:rPr>
        <w:t>Kravet på att energieffektiviseringsåtgärder i partiella system av befintliga byggnader ska leda till 30 procents lägre energianvändning har utgått.</w:t>
      </w:r>
    </w:p>
    <w:p w14:paraId="0E92A0D0" w14:textId="77777777" w:rsidR="007D5C28" w:rsidRPr="007D5C28" w:rsidRDefault="007D5C28" w:rsidP="007D5C28">
      <w:pPr>
        <w:numPr>
          <w:ilvl w:val="0"/>
          <w:numId w:val="4"/>
        </w:numPr>
        <w:spacing w:after="0" w:line="240" w:lineRule="auto"/>
        <w:contextualSpacing/>
        <w:rPr>
          <w:rFonts w:ascii="Times New Roman" w:eastAsia="Times New Roman" w:hAnsi="Times New Roman" w:cs="Times New Roman"/>
          <w:kern w:val="0"/>
          <w:lang w:eastAsia="sv-SE"/>
          <w14:ligatures w14:val="none"/>
        </w:rPr>
      </w:pPr>
      <w:r w:rsidRPr="007D5C28">
        <w:rPr>
          <w:rFonts w:ascii="Times New Roman" w:eastAsia="Times New Roman" w:hAnsi="Times New Roman" w:cs="Times New Roman"/>
          <w:kern w:val="0"/>
          <w:lang w:eastAsia="sv-SE"/>
          <w14:ligatures w14:val="none"/>
        </w:rPr>
        <w:t>I stället har kriterierna kompletterats med en lista på godkända energieffektiviseringsåtgärder med utgångspunkt från EU-taxonomin.</w:t>
      </w:r>
    </w:p>
    <w:p w14:paraId="2A2FFA52" w14:textId="77777777" w:rsidR="007D5C28" w:rsidRPr="007D5C28" w:rsidRDefault="007D5C28" w:rsidP="007D5C28">
      <w:pPr>
        <w:keepNext/>
        <w:keepLines/>
        <w:spacing w:before="200" w:after="0" w:line="276" w:lineRule="auto"/>
        <w:outlineLvl w:val="2"/>
        <w:rPr>
          <w:rFonts w:ascii="Arial" w:eastAsia="MS Gothic" w:hAnsi="Arial" w:cs="Times New Roman"/>
          <w:b/>
          <w:bCs/>
          <w:kern w:val="0"/>
          <w:sz w:val="20"/>
          <w:szCs w:val="22"/>
          <w14:ligatures w14:val="none"/>
        </w:rPr>
      </w:pPr>
      <w:r w:rsidRPr="007D5C28">
        <w:rPr>
          <w:rFonts w:ascii="Arial" w:eastAsia="MS Gothic" w:hAnsi="Arial" w:cs="Times New Roman"/>
          <w:b/>
          <w:bCs/>
          <w:kern w:val="0"/>
          <w:sz w:val="20"/>
          <w:szCs w:val="22"/>
          <w14:ligatures w14:val="none"/>
        </w:rPr>
        <w:t xml:space="preserve">Hållbara transporter </w:t>
      </w:r>
    </w:p>
    <w:p w14:paraId="0DA2DC75" w14:textId="27ACAE6D" w:rsidR="007D5C28" w:rsidRPr="007D5C28" w:rsidRDefault="007D5C28" w:rsidP="007D5C28">
      <w:pPr>
        <w:numPr>
          <w:ilvl w:val="0"/>
          <w:numId w:val="2"/>
        </w:numPr>
        <w:spacing w:after="200" w:line="240" w:lineRule="auto"/>
        <w:contextualSpacing/>
        <w:rPr>
          <w:rFonts w:ascii="Times New Roman" w:eastAsia="Times New Roman" w:hAnsi="Times New Roman" w:cs="Times New Roman"/>
          <w:kern w:val="0"/>
          <w:lang w:eastAsia="sv-SE"/>
          <w14:ligatures w14:val="none"/>
        </w:rPr>
      </w:pPr>
      <w:r w:rsidRPr="007D5C28">
        <w:rPr>
          <w:rFonts w:ascii="Times New Roman" w:eastAsia="Times New Roman" w:hAnsi="Times New Roman" w:cs="Times New Roman"/>
          <w:kern w:val="0"/>
          <w:lang w:eastAsia="sv-SE"/>
          <w14:ligatures w14:val="none"/>
        </w:rPr>
        <w:t xml:space="preserve">Samtliga underkategorier omfattas av konkreta kriterier som syftar till minskad klimatpåverkan, och som behöver vara uppfyllda för att Gröna lån ska kunna beviljas. </w:t>
      </w:r>
    </w:p>
    <w:p w14:paraId="3BF01E9D" w14:textId="77777777" w:rsidR="007D5C28" w:rsidRPr="007D5C28" w:rsidRDefault="007D5C28" w:rsidP="007D5C28">
      <w:pPr>
        <w:numPr>
          <w:ilvl w:val="0"/>
          <w:numId w:val="2"/>
        </w:numPr>
        <w:spacing w:after="0" w:line="240" w:lineRule="auto"/>
        <w:contextualSpacing/>
        <w:rPr>
          <w:rFonts w:ascii="Times New Roman" w:eastAsia="Times New Roman" w:hAnsi="Times New Roman" w:cs="Times New Roman"/>
          <w:color w:val="000000"/>
          <w:kern w:val="0"/>
          <w:lang w:eastAsia="sv-SE"/>
          <w14:ligatures w14:val="none"/>
        </w:rPr>
      </w:pPr>
      <w:r w:rsidRPr="007D5C28">
        <w:rPr>
          <w:rFonts w:ascii="Times New Roman" w:eastAsia="Times New Roman" w:hAnsi="Times New Roman" w:cs="Times New Roman"/>
          <w:color w:val="000000"/>
          <w:kern w:val="0"/>
          <w:lang w:eastAsia="sv-SE"/>
          <w14:ligatures w14:val="none"/>
        </w:rPr>
        <w:t>Till skillnad från kraven i EU-taxonomin kommer biogas fortfarande vara ett godkänt drivmedel för investeringar inom kategorin. Skälet är Miljökommitténs uppfattning att biogas kan bidra till att adressera flera miljö- och klimatutmaningar. Bland annat att användning av biogas för transportändamål kan bidra till minskad efterfrågan på el, vilket givet aktuella prognoser om kraftigt ökade elbehov till följd av elektrifiering av industriprocesser och fordonstransporter är önskvärt.</w:t>
      </w:r>
    </w:p>
    <w:p w14:paraId="05D34A06" w14:textId="77777777" w:rsidR="007D5C28" w:rsidRPr="007D5C28" w:rsidRDefault="007D5C28" w:rsidP="007D5C28">
      <w:pPr>
        <w:spacing w:after="200" w:line="240" w:lineRule="auto"/>
        <w:ind w:left="720"/>
        <w:contextualSpacing/>
        <w:rPr>
          <w:rFonts w:ascii="Times New Roman" w:eastAsia="Times New Roman" w:hAnsi="Times New Roman" w:cs="Times New Roman"/>
          <w:kern w:val="0"/>
          <w:lang w:eastAsia="sv-SE"/>
          <w14:ligatures w14:val="none"/>
        </w:rPr>
      </w:pPr>
    </w:p>
    <w:p w14:paraId="15CB8B9E" w14:textId="77777777" w:rsidR="007D5C28" w:rsidRPr="007D5C28" w:rsidRDefault="007D5C28" w:rsidP="007D5C28">
      <w:pPr>
        <w:keepNext/>
        <w:keepLines/>
        <w:spacing w:before="200" w:after="0" w:line="276" w:lineRule="auto"/>
        <w:outlineLvl w:val="2"/>
        <w:rPr>
          <w:rFonts w:ascii="Arial" w:eastAsia="MS Gothic" w:hAnsi="Arial" w:cs="Times New Roman"/>
          <w:b/>
          <w:bCs/>
          <w:kern w:val="0"/>
          <w:sz w:val="20"/>
          <w:szCs w:val="22"/>
          <w14:ligatures w14:val="none"/>
        </w:rPr>
      </w:pPr>
      <w:r w:rsidRPr="007D5C28">
        <w:rPr>
          <w:rFonts w:ascii="Arial" w:eastAsia="MS Gothic" w:hAnsi="Arial" w:cs="Times New Roman"/>
          <w:b/>
          <w:bCs/>
          <w:kern w:val="0"/>
          <w:sz w:val="20"/>
          <w:szCs w:val="22"/>
          <w14:ligatures w14:val="none"/>
        </w:rPr>
        <w:t xml:space="preserve">Vatten- och avloppsvattenhantering </w:t>
      </w:r>
    </w:p>
    <w:p w14:paraId="3CB7F228" w14:textId="77777777" w:rsidR="007D5C28" w:rsidRDefault="007D5C28" w:rsidP="007D5C28">
      <w:pPr>
        <w:numPr>
          <w:ilvl w:val="0"/>
          <w:numId w:val="2"/>
        </w:numPr>
        <w:spacing w:after="200" w:line="240" w:lineRule="auto"/>
        <w:contextualSpacing/>
        <w:rPr>
          <w:rFonts w:ascii="Times New Roman" w:eastAsia="Times New Roman" w:hAnsi="Times New Roman" w:cs="Times New Roman"/>
          <w:color w:val="000000"/>
          <w:kern w:val="0"/>
          <w:lang w:eastAsia="sv-SE"/>
          <w14:ligatures w14:val="none"/>
        </w:rPr>
      </w:pPr>
      <w:r w:rsidRPr="007D5C28">
        <w:rPr>
          <w:rFonts w:ascii="Times New Roman" w:eastAsia="Times New Roman" w:hAnsi="Times New Roman" w:cs="Times New Roman"/>
          <w:kern w:val="0"/>
          <w:lang w:eastAsia="sv-SE"/>
          <w14:ligatures w14:val="none"/>
        </w:rPr>
        <w:t>Samtliga underkategorier omfattas av konkreta kriterier s</w:t>
      </w:r>
      <w:r w:rsidRPr="007D5C28">
        <w:rPr>
          <w:rFonts w:ascii="Times New Roman" w:eastAsia="Times New Roman" w:hAnsi="Times New Roman" w:cs="Times New Roman"/>
          <w:color w:val="000000"/>
          <w:kern w:val="0"/>
          <w:lang w:eastAsia="sv-SE"/>
          <w14:ligatures w14:val="none"/>
        </w:rPr>
        <w:t xml:space="preserve">om behöver uppfyllas, med fokus på antingen minskad energiförbrukning eller minskad negativ påverkan på vatten, för att Grönt lån ska kunna beviljas. </w:t>
      </w:r>
    </w:p>
    <w:p w14:paraId="5CD167DF" w14:textId="77777777" w:rsidR="007D5C28" w:rsidRPr="007D5C28" w:rsidRDefault="007D5C28" w:rsidP="007D5C28">
      <w:pPr>
        <w:spacing w:after="200" w:line="240" w:lineRule="auto"/>
        <w:ind w:left="720"/>
        <w:contextualSpacing/>
        <w:rPr>
          <w:rFonts w:ascii="Times New Roman" w:eastAsia="Times New Roman" w:hAnsi="Times New Roman" w:cs="Times New Roman"/>
          <w:color w:val="000000"/>
          <w:kern w:val="0"/>
          <w:lang w:eastAsia="sv-SE"/>
          <w14:ligatures w14:val="none"/>
        </w:rPr>
      </w:pPr>
    </w:p>
    <w:p w14:paraId="77D1C67D" w14:textId="77777777" w:rsidR="007D5C28" w:rsidRPr="007D5C28" w:rsidRDefault="007D5C28" w:rsidP="007D5C28">
      <w:pPr>
        <w:keepNext/>
        <w:keepLines/>
        <w:spacing w:before="200" w:after="0" w:line="276" w:lineRule="auto"/>
        <w:outlineLvl w:val="2"/>
        <w:rPr>
          <w:rFonts w:ascii="Arial" w:eastAsia="MS Gothic" w:hAnsi="Arial" w:cs="Times New Roman"/>
          <w:b/>
          <w:bCs/>
          <w:color w:val="000000"/>
          <w:kern w:val="0"/>
          <w:sz w:val="20"/>
          <w:szCs w:val="22"/>
          <w14:ligatures w14:val="none"/>
        </w:rPr>
      </w:pPr>
      <w:r w:rsidRPr="007D5C28">
        <w:rPr>
          <w:rFonts w:ascii="Arial" w:eastAsia="MS Gothic" w:hAnsi="Arial" w:cs="Times New Roman"/>
          <w:b/>
          <w:bCs/>
          <w:color w:val="000000"/>
          <w:kern w:val="0"/>
          <w:sz w:val="20"/>
          <w:szCs w:val="22"/>
          <w14:ligatures w14:val="none"/>
        </w:rPr>
        <w:t xml:space="preserve">Klimatanpassningsåtgärder </w:t>
      </w:r>
    </w:p>
    <w:p w14:paraId="45B8A112" w14:textId="77777777" w:rsidR="007D5C28" w:rsidRPr="007D5C28" w:rsidRDefault="007D5C28" w:rsidP="007D5C28">
      <w:pPr>
        <w:numPr>
          <w:ilvl w:val="0"/>
          <w:numId w:val="2"/>
        </w:numPr>
        <w:spacing w:after="200" w:line="240" w:lineRule="auto"/>
        <w:contextualSpacing/>
        <w:rPr>
          <w:rFonts w:ascii="Times New Roman" w:eastAsia="Times New Roman" w:hAnsi="Times New Roman" w:cs="Times New Roman"/>
          <w:color w:val="000000"/>
          <w:kern w:val="0"/>
          <w:lang w:eastAsia="sv-SE"/>
          <w14:ligatures w14:val="none"/>
        </w:rPr>
      </w:pPr>
      <w:r w:rsidRPr="007D5C28">
        <w:rPr>
          <w:rFonts w:ascii="Times New Roman" w:eastAsia="Times New Roman" w:hAnsi="Times New Roman" w:cs="Times New Roman"/>
          <w:color w:val="000000"/>
          <w:kern w:val="0"/>
          <w:lang w:eastAsia="sv-SE"/>
          <w14:ligatures w14:val="none"/>
        </w:rPr>
        <w:t xml:space="preserve">Projektkategorin omfattas av konkreta krav som behöver uppfyllas för att Gröna lån ska kunna beviljas. Tidigare saknades detta, kraven var generella till sin natur. </w:t>
      </w:r>
    </w:p>
    <w:p w14:paraId="57080C86" w14:textId="77777777" w:rsidR="007D5C28" w:rsidRPr="007D5C28" w:rsidRDefault="007D5C28" w:rsidP="007D5C28">
      <w:pPr>
        <w:spacing w:after="0" w:line="240" w:lineRule="auto"/>
        <w:rPr>
          <w:rFonts w:ascii="Times New Roman" w:eastAsia="Times New Roman" w:hAnsi="Times New Roman" w:cs="Times New Roman"/>
          <w:b/>
          <w:color w:val="000000"/>
          <w:kern w:val="0"/>
          <w:lang w:eastAsia="sv-SE"/>
          <w14:ligatures w14:val="none"/>
        </w:rPr>
      </w:pPr>
      <w:r w:rsidRPr="007D5C28">
        <w:rPr>
          <w:rFonts w:ascii="Times New Roman" w:eastAsia="Times New Roman" w:hAnsi="Times New Roman" w:cs="Times New Roman"/>
          <w:b/>
          <w:color w:val="000000"/>
          <w:kern w:val="0"/>
          <w:lang w:eastAsia="sv-SE"/>
          <w14:ligatures w14:val="none"/>
        </w:rPr>
        <w:lastRenderedPageBreak/>
        <w:t xml:space="preserve">Biologisk mångfald </w:t>
      </w:r>
    </w:p>
    <w:p w14:paraId="6AD55A7A" w14:textId="77777777" w:rsidR="007D5C28" w:rsidRPr="007D5C28" w:rsidRDefault="007D5C28" w:rsidP="007D5C28">
      <w:pPr>
        <w:numPr>
          <w:ilvl w:val="0"/>
          <w:numId w:val="2"/>
        </w:numPr>
        <w:spacing w:after="200" w:line="240" w:lineRule="auto"/>
        <w:contextualSpacing/>
        <w:rPr>
          <w:rFonts w:ascii="Times New Roman" w:eastAsia="Times New Roman" w:hAnsi="Times New Roman" w:cs="Times New Roman"/>
          <w:color w:val="000000"/>
          <w:kern w:val="0"/>
          <w:lang w:eastAsia="sv-SE"/>
          <w14:ligatures w14:val="none"/>
        </w:rPr>
      </w:pPr>
      <w:r w:rsidRPr="007D5C28">
        <w:rPr>
          <w:rFonts w:ascii="Times New Roman" w:eastAsia="Times New Roman" w:hAnsi="Times New Roman" w:cs="Times New Roman"/>
          <w:color w:val="000000"/>
          <w:kern w:val="0"/>
          <w:lang w:eastAsia="sv-SE"/>
          <w14:ligatures w14:val="none"/>
        </w:rPr>
        <w:t>Projektkategorin har bytt namn, från tidigare Övriga miljöåtgärder till Biologisk mångfald.</w:t>
      </w:r>
    </w:p>
    <w:p w14:paraId="15FCE672" w14:textId="77777777" w:rsidR="007D5C28" w:rsidRPr="007D5C28" w:rsidRDefault="007D5C28" w:rsidP="007D5C28">
      <w:pPr>
        <w:numPr>
          <w:ilvl w:val="0"/>
          <w:numId w:val="2"/>
        </w:numPr>
        <w:spacing w:after="200" w:line="240" w:lineRule="auto"/>
        <w:contextualSpacing/>
        <w:rPr>
          <w:rFonts w:ascii="Times New Roman" w:eastAsia="Times New Roman" w:hAnsi="Times New Roman" w:cs="Times New Roman"/>
          <w:color w:val="000000"/>
          <w:kern w:val="0"/>
          <w:lang w:eastAsia="sv-SE"/>
          <w14:ligatures w14:val="none"/>
        </w:rPr>
      </w:pPr>
      <w:r w:rsidRPr="007D5C28">
        <w:rPr>
          <w:rFonts w:ascii="Times New Roman" w:eastAsia="Times New Roman" w:hAnsi="Times New Roman" w:cs="Times New Roman"/>
          <w:color w:val="000000"/>
          <w:kern w:val="0"/>
          <w:lang w:eastAsia="sv-SE"/>
          <w14:ligatures w14:val="none"/>
        </w:rPr>
        <w:t xml:space="preserve">Aktiviteter som tidigare finansierades inom projektkategorin, </w:t>
      </w:r>
      <w:proofErr w:type="gramStart"/>
      <w:r w:rsidRPr="007D5C28">
        <w:rPr>
          <w:rFonts w:ascii="Times New Roman" w:eastAsia="Times New Roman" w:hAnsi="Times New Roman" w:cs="Times New Roman"/>
          <w:color w:val="000000"/>
          <w:kern w:val="0"/>
          <w:lang w:eastAsia="sv-SE"/>
          <w14:ligatures w14:val="none"/>
        </w:rPr>
        <w:t>t.ex.</w:t>
      </w:r>
      <w:proofErr w:type="gramEnd"/>
      <w:r w:rsidRPr="007D5C28">
        <w:rPr>
          <w:rFonts w:ascii="Times New Roman" w:eastAsia="Times New Roman" w:hAnsi="Times New Roman" w:cs="Times New Roman"/>
          <w:color w:val="000000"/>
          <w:kern w:val="0"/>
          <w:lang w:eastAsia="sv-SE"/>
          <w14:ligatures w14:val="none"/>
        </w:rPr>
        <w:t xml:space="preserve"> sanering av förorenad mark, har flyttat till projektkategori Avfallshantering/Förebyggande och kontroll av föroreningar/kontroll av växthusgasutsläpp.</w:t>
      </w:r>
    </w:p>
    <w:p w14:paraId="22215B17" w14:textId="77777777" w:rsidR="007D5C28" w:rsidRPr="007D5C28" w:rsidRDefault="007D5C28" w:rsidP="007D5C28">
      <w:pPr>
        <w:numPr>
          <w:ilvl w:val="0"/>
          <w:numId w:val="2"/>
        </w:numPr>
        <w:spacing w:after="200" w:line="240" w:lineRule="auto"/>
        <w:contextualSpacing/>
        <w:rPr>
          <w:rFonts w:ascii="Times New Roman" w:eastAsia="Times New Roman" w:hAnsi="Times New Roman" w:cs="Times New Roman"/>
          <w:color w:val="000000"/>
          <w:kern w:val="0"/>
          <w:lang w:eastAsia="sv-SE"/>
          <w14:ligatures w14:val="none"/>
        </w:rPr>
      </w:pPr>
      <w:r w:rsidRPr="007D5C28">
        <w:rPr>
          <w:rFonts w:ascii="Times New Roman" w:eastAsia="Times New Roman" w:hAnsi="Times New Roman" w:cs="Times New Roman"/>
          <w:color w:val="000000"/>
          <w:kern w:val="0"/>
          <w:lang w:eastAsia="sv-SE"/>
          <w14:ligatures w14:val="none"/>
        </w:rPr>
        <w:t xml:space="preserve">Projektkategorin innehåller konkreta kriterier som behöver uppfyllas för att Gröna lån ska kunna beviljas. </w:t>
      </w:r>
    </w:p>
    <w:p w14:paraId="23A060EB" w14:textId="77777777" w:rsidR="00AF1E0B" w:rsidRDefault="00AF1E0B"/>
    <w:sectPr w:rsidR="00AF1E0B">
      <w:footerReference w:type="even" r:id="rId7"/>
      <w:footerReference w:type="default" r:id="rId8"/>
      <w:foot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6BE6FD" w14:textId="77777777" w:rsidR="00CE64A7" w:rsidRDefault="00CE64A7" w:rsidP="007D5C28">
      <w:pPr>
        <w:spacing w:after="0" w:line="240" w:lineRule="auto"/>
      </w:pPr>
      <w:r>
        <w:separator/>
      </w:r>
    </w:p>
  </w:endnote>
  <w:endnote w:type="continuationSeparator" w:id="0">
    <w:p w14:paraId="0228555A" w14:textId="77777777" w:rsidR="00CE64A7" w:rsidRDefault="00CE64A7" w:rsidP="007D5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3CDD8" w14:textId="69C9C597" w:rsidR="007D5C28" w:rsidRDefault="007D5C28">
    <w:pPr>
      <w:pStyle w:val="Sidfot"/>
    </w:pPr>
    <w:r>
      <w:rPr>
        <w:noProof/>
      </w:rPr>
      <mc:AlternateContent>
        <mc:Choice Requires="wps">
          <w:drawing>
            <wp:anchor distT="0" distB="0" distL="0" distR="0" simplePos="0" relativeHeight="251659264" behindDoc="0" locked="0" layoutInCell="1" allowOverlap="1" wp14:anchorId="7CAE1D13" wp14:editId="638262BB">
              <wp:simplePos x="635" y="635"/>
              <wp:positionH relativeFrom="page">
                <wp:align>right</wp:align>
              </wp:positionH>
              <wp:positionV relativeFrom="page">
                <wp:align>bottom</wp:align>
              </wp:positionV>
              <wp:extent cx="1226185" cy="424180"/>
              <wp:effectExtent l="0" t="0" r="0" b="0"/>
              <wp:wrapNone/>
              <wp:docPr id="1371713165" name="Textruta 2" descr="Internal ‎ ‎ ‎ ‎ ‎ ‎ ‎ ‎ ‎ ‎ ‎‎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1226185" cy="424180"/>
                      </a:xfrm>
                      <a:prstGeom prst="rect">
                        <a:avLst/>
                      </a:prstGeom>
                      <a:noFill/>
                      <a:ln>
                        <a:noFill/>
                      </a:ln>
                    </wps:spPr>
                    <wps:txbx>
                      <w:txbxContent>
                        <w:p w14:paraId="379AF4DC" w14:textId="4EB07A68" w:rsidR="007D5C28" w:rsidRPr="007D5C28" w:rsidRDefault="007D5C28" w:rsidP="007D5C28">
                          <w:pPr>
                            <w:spacing w:after="0"/>
                            <w:rPr>
                              <w:rFonts w:ascii="Calibri" w:eastAsia="Calibri" w:hAnsi="Calibri" w:cs="Calibri"/>
                              <w:noProof/>
                              <w:color w:val="000000"/>
                              <w:sz w:val="26"/>
                              <w:szCs w:val="26"/>
                            </w:rPr>
                          </w:pPr>
                          <w:r w:rsidRPr="007D5C28">
                            <w:rPr>
                              <w:rFonts w:ascii="Calibri" w:eastAsia="Calibri" w:hAnsi="Calibri" w:cs="Calibri"/>
                              <w:noProof/>
                              <w:color w:val="000000"/>
                              <w:sz w:val="26"/>
                              <w:szCs w:val="26"/>
                            </w:rPr>
                            <w:t>Internal ‎ ‎ ‎ ‎ ‎ ‎ ‎ ‎ ‎ ‎ ‎‎ ‎</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7CAE1D13" id="_x0000_t202" coordsize="21600,21600" o:spt="202" path="m,l,21600r21600,l21600,xe">
              <v:stroke joinstyle="miter"/>
              <v:path gradientshapeok="t" o:connecttype="rect"/>
            </v:shapetype>
            <v:shape id="Textruta 2" o:spid="_x0000_s1026" type="#_x0000_t202" alt="Internal ‎ ‎ ‎ ‎ ‎ ‎ ‎ ‎ ‎ ‎ ‎‎ ‎" style="position:absolute;margin-left:45.35pt;margin-top:0;width:96.55pt;height:33.4pt;z-index:251659264;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" filled="f" stroked="f">
              <v:textbox style="mso-fit-shape-to-text:t" inset="0,0,20pt,15pt">
                <w:txbxContent>
                  <w:p w14:paraId="379AF4DC" w14:textId="4EB07A68" w:rsidR="007D5C28" w:rsidRPr="007D5C28" w:rsidRDefault="007D5C28" w:rsidP="007D5C28">
                    <w:pPr>
                      <w:spacing w:after="0"/>
                      <w:rPr>
                        <w:rFonts w:ascii="Calibri" w:eastAsia="Calibri" w:hAnsi="Calibri" w:cs="Calibri"/>
                        <w:noProof/>
                        <w:color w:val="000000"/>
                        <w:sz w:val="26"/>
                        <w:szCs w:val="26"/>
                      </w:rPr>
                    </w:pPr>
                    <w:r w:rsidRPr="007D5C28">
                      <w:rPr>
                        <w:rFonts w:ascii="Calibri" w:eastAsia="Calibri" w:hAnsi="Calibri" w:cs="Calibri"/>
                        <w:noProof/>
                        <w:color w:val="000000"/>
                        <w:sz w:val="26"/>
                        <w:szCs w:val="26"/>
                      </w:rPr>
                      <w:t>Internal ‎ ‎ ‎ ‎ ‎ ‎ ‎ ‎ ‎ ‎ ‎‎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5903DB" w14:textId="0D0CE4A3" w:rsidR="007D5C28" w:rsidRDefault="007D5C28">
    <w:pPr>
      <w:pStyle w:val="Sidfot"/>
    </w:pPr>
    <w:r>
      <w:rPr>
        <w:noProof/>
      </w:rPr>
      <mc:AlternateContent>
        <mc:Choice Requires="wps">
          <w:drawing>
            <wp:anchor distT="0" distB="0" distL="0" distR="0" simplePos="0" relativeHeight="251660288" behindDoc="0" locked="0" layoutInCell="1" allowOverlap="1" wp14:anchorId="42AC0387" wp14:editId="0C218213">
              <wp:simplePos x="901700" y="10058400"/>
              <wp:positionH relativeFrom="page">
                <wp:align>right</wp:align>
              </wp:positionH>
              <wp:positionV relativeFrom="page">
                <wp:align>bottom</wp:align>
              </wp:positionV>
              <wp:extent cx="1226185" cy="424180"/>
              <wp:effectExtent l="0" t="0" r="0" b="0"/>
              <wp:wrapNone/>
              <wp:docPr id="1044076398" name="Textruta 3" descr="Internal ‎ ‎ ‎ ‎ ‎ ‎ ‎ ‎ ‎ ‎ ‎‎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1226185" cy="424180"/>
                      </a:xfrm>
                      <a:prstGeom prst="rect">
                        <a:avLst/>
                      </a:prstGeom>
                      <a:noFill/>
                      <a:ln>
                        <a:noFill/>
                      </a:ln>
                    </wps:spPr>
                    <wps:txbx>
                      <w:txbxContent>
                        <w:p w14:paraId="019C5336" w14:textId="6530DD69" w:rsidR="007D5C28" w:rsidRPr="007D5C28" w:rsidRDefault="007D5C28" w:rsidP="007D5C28">
                          <w:pPr>
                            <w:spacing w:after="0"/>
                            <w:rPr>
                              <w:rFonts w:ascii="Calibri" w:eastAsia="Calibri" w:hAnsi="Calibri" w:cs="Calibri"/>
                              <w:noProof/>
                              <w:color w:val="000000"/>
                              <w:sz w:val="26"/>
                              <w:szCs w:val="26"/>
                            </w:rPr>
                          </w:pPr>
                          <w:r w:rsidRPr="007D5C28">
                            <w:rPr>
                              <w:rFonts w:ascii="Calibri" w:eastAsia="Calibri" w:hAnsi="Calibri" w:cs="Calibri"/>
                              <w:noProof/>
                              <w:color w:val="000000"/>
                              <w:sz w:val="26"/>
                              <w:szCs w:val="26"/>
                            </w:rPr>
                            <w:t>Internal ‎ ‎ ‎ ‎ ‎ ‎ ‎ ‎ ‎ ‎ ‎‎ ‎</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42AC0387" id="_x0000_t202" coordsize="21600,21600" o:spt="202" path="m,l,21600r21600,l21600,xe">
              <v:stroke joinstyle="miter"/>
              <v:path gradientshapeok="t" o:connecttype="rect"/>
            </v:shapetype>
            <v:shape id="Textruta 3" o:spid="_x0000_s1027" type="#_x0000_t202" alt="Internal ‎ ‎ ‎ ‎ ‎ ‎ ‎ ‎ ‎ ‎ ‎‎ ‎" style="position:absolute;margin-left:45.35pt;margin-top:0;width:96.55pt;height:33.4pt;z-index:251660288;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" filled="f" stroked="f">
              <v:textbox style="mso-fit-shape-to-text:t" inset="0,0,20pt,15pt">
                <w:txbxContent>
                  <w:p w14:paraId="019C5336" w14:textId="6530DD69" w:rsidR="007D5C28" w:rsidRPr="007D5C28" w:rsidRDefault="007D5C28" w:rsidP="007D5C28">
                    <w:pPr>
                      <w:spacing w:after="0"/>
                      <w:rPr>
                        <w:rFonts w:ascii="Calibri" w:eastAsia="Calibri" w:hAnsi="Calibri" w:cs="Calibri"/>
                        <w:noProof/>
                        <w:color w:val="000000"/>
                        <w:sz w:val="26"/>
                        <w:szCs w:val="26"/>
                      </w:rPr>
                    </w:pPr>
                    <w:r w:rsidRPr="007D5C28">
                      <w:rPr>
                        <w:rFonts w:ascii="Calibri" w:eastAsia="Calibri" w:hAnsi="Calibri" w:cs="Calibri"/>
                        <w:noProof/>
                        <w:color w:val="000000"/>
                        <w:sz w:val="26"/>
                        <w:szCs w:val="26"/>
                      </w:rPr>
                      <w:t>Internal ‎ ‎ ‎ ‎ ‎ ‎ ‎ ‎ ‎ ‎ ‎‎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31815" w14:textId="7F299FDD" w:rsidR="007D5C28" w:rsidRDefault="007D5C28">
    <w:pPr>
      <w:pStyle w:val="Sidfot"/>
    </w:pPr>
    <w:r>
      <w:rPr>
        <w:noProof/>
      </w:rPr>
      <mc:AlternateContent>
        <mc:Choice Requires="wps">
          <w:drawing>
            <wp:anchor distT="0" distB="0" distL="0" distR="0" simplePos="0" relativeHeight="251658240" behindDoc="0" locked="0" layoutInCell="1" allowOverlap="1" wp14:anchorId="7AE6D99E" wp14:editId="307E4150">
              <wp:simplePos x="635" y="635"/>
              <wp:positionH relativeFrom="page">
                <wp:align>right</wp:align>
              </wp:positionH>
              <wp:positionV relativeFrom="page">
                <wp:align>bottom</wp:align>
              </wp:positionV>
              <wp:extent cx="1226185" cy="424180"/>
              <wp:effectExtent l="0" t="0" r="0" b="0"/>
              <wp:wrapNone/>
              <wp:docPr id="640811140" name="Textruta 1" descr="Internal ‎ ‎ ‎ ‎ ‎ ‎ ‎ ‎ ‎ ‎ ‎‎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1226185" cy="424180"/>
                      </a:xfrm>
                      <a:prstGeom prst="rect">
                        <a:avLst/>
                      </a:prstGeom>
                      <a:noFill/>
                      <a:ln>
                        <a:noFill/>
                      </a:ln>
                    </wps:spPr>
                    <wps:txbx>
                      <w:txbxContent>
                        <w:p w14:paraId="55231967" w14:textId="3E92654D" w:rsidR="007D5C28" w:rsidRPr="007D5C28" w:rsidRDefault="007D5C28" w:rsidP="007D5C28">
                          <w:pPr>
                            <w:spacing w:after="0"/>
                            <w:rPr>
                              <w:rFonts w:ascii="Calibri" w:eastAsia="Calibri" w:hAnsi="Calibri" w:cs="Calibri"/>
                              <w:noProof/>
                              <w:color w:val="000000"/>
                              <w:sz w:val="26"/>
                              <w:szCs w:val="26"/>
                            </w:rPr>
                          </w:pPr>
                          <w:r w:rsidRPr="007D5C28">
                            <w:rPr>
                              <w:rFonts w:ascii="Calibri" w:eastAsia="Calibri" w:hAnsi="Calibri" w:cs="Calibri"/>
                              <w:noProof/>
                              <w:color w:val="000000"/>
                              <w:sz w:val="26"/>
                              <w:szCs w:val="26"/>
                            </w:rPr>
                            <w:t>Internal ‎ ‎ ‎ ‎ ‎ ‎ ‎ ‎ ‎ ‎ ‎‎ ‎</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7AE6D99E" id="_x0000_t202" coordsize="21600,21600" o:spt="202" path="m,l,21600r21600,l21600,xe">
              <v:stroke joinstyle="miter"/>
              <v:path gradientshapeok="t" o:connecttype="rect"/>
            </v:shapetype>
            <v:shape id="Textruta 1" o:spid="_x0000_s1028" type="#_x0000_t202" alt="Internal ‎ ‎ ‎ ‎ ‎ ‎ ‎ ‎ ‎ ‎ ‎‎ ‎" style="position:absolute;margin-left:45.35pt;margin-top:0;width:96.55pt;height:33.4pt;z-index:251658240;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" filled="f" stroked="f">
              <v:textbox style="mso-fit-shape-to-text:t" inset="0,0,20pt,15pt">
                <w:txbxContent>
                  <w:p w14:paraId="55231967" w14:textId="3E92654D" w:rsidR="007D5C28" w:rsidRPr="007D5C28" w:rsidRDefault="007D5C28" w:rsidP="007D5C28">
                    <w:pPr>
                      <w:spacing w:after="0"/>
                      <w:rPr>
                        <w:rFonts w:ascii="Calibri" w:eastAsia="Calibri" w:hAnsi="Calibri" w:cs="Calibri"/>
                        <w:noProof/>
                        <w:color w:val="000000"/>
                        <w:sz w:val="26"/>
                        <w:szCs w:val="26"/>
                      </w:rPr>
                    </w:pPr>
                    <w:r w:rsidRPr="007D5C28">
                      <w:rPr>
                        <w:rFonts w:ascii="Calibri" w:eastAsia="Calibri" w:hAnsi="Calibri" w:cs="Calibri"/>
                        <w:noProof/>
                        <w:color w:val="000000"/>
                        <w:sz w:val="26"/>
                        <w:szCs w:val="26"/>
                      </w:rPr>
                      <w:t>Internal ‎ ‎ ‎ ‎ ‎ ‎ ‎ ‎ ‎ ‎ ‎‎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279EB9" w14:textId="77777777" w:rsidR="00CE64A7" w:rsidRDefault="00CE64A7" w:rsidP="007D5C28">
      <w:pPr>
        <w:spacing w:after="0" w:line="240" w:lineRule="auto"/>
      </w:pPr>
      <w:r>
        <w:separator/>
      </w:r>
    </w:p>
  </w:footnote>
  <w:footnote w:type="continuationSeparator" w:id="0">
    <w:p w14:paraId="5D621E69" w14:textId="77777777" w:rsidR="00CE64A7" w:rsidRDefault="00CE64A7" w:rsidP="007D5C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13737"/>
    <w:multiLevelType w:val="hybridMultilevel"/>
    <w:tmpl w:val="F09E66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75549AE"/>
    <w:multiLevelType w:val="hybridMultilevel"/>
    <w:tmpl w:val="E81E52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2AD776E"/>
    <w:multiLevelType w:val="hybridMultilevel"/>
    <w:tmpl w:val="0D2211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7455826"/>
    <w:multiLevelType w:val="hybridMultilevel"/>
    <w:tmpl w:val="697ADB20"/>
    <w:lvl w:ilvl="0" w:tplc="041D0001">
      <w:start w:val="1"/>
      <w:numFmt w:val="bullet"/>
      <w:lvlText w:val=""/>
      <w:lvlJc w:val="left"/>
      <w:pPr>
        <w:ind w:left="720" w:hanging="360"/>
      </w:pPr>
      <w:rPr>
        <w:rFonts w:ascii="Symbol" w:hAnsi="Symbol" w:hint="default"/>
      </w:rPr>
    </w:lvl>
    <w:lvl w:ilvl="1" w:tplc="C5D62F8C">
      <w:start w:val="1"/>
      <w:numFmt w:val="bullet"/>
      <w:lvlText w:val="-"/>
      <w:lvlJc w:val="left"/>
      <w:pPr>
        <w:ind w:left="720" w:hanging="360"/>
      </w:pPr>
      <w:rPr>
        <w:rFonts w:ascii="Times New Roman" w:eastAsia="Times New Roman" w:hAnsi="Times New Roman" w:cs="Times New Roman"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32742144">
    <w:abstractNumId w:val="0"/>
  </w:num>
  <w:num w:numId="2" w16cid:durableId="146090615">
    <w:abstractNumId w:val="2"/>
  </w:num>
  <w:num w:numId="3" w16cid:durableId="302002064">
    <w:abstractNumId w:val="3"/>
  </w:num>
  <w:num w:numId="4" w16cid:durableId="259030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C28"/>
    <w:rsid w:val="00091722"/>
    <w:rsid w:val="0012309B"/>
    <w:rsid w:val="001A3F11"/>
    <w:rsid w:val="002109B4"/>
    <w:rsid w:val="00235BA5"/>
    <w:rsid w:val="00437427"/>
    <w:rsid w:val="00537351"/>
    <w:rsid w:val="005E142B"/>
    <w:rsid w:val="006E223B"/>
    <w:rsid w:val="007A7ED9"/>
    <w:rsid w:val="007D5C28"/>
    <w:rsid w:val="0086403C"/>
    <w:rsid w:val="009474EF"/>
    <w:rsid w:val="00950189"/>
    <w:rsid w:val="00AF1E0B"/>
    <w:rsid w:val="00C258D2"/>
    <w:rsid w:val="00CE64A7"/>
    <w:rsid w:val="00D42747"/>
    <w:rsid w:val="00D96CDA"/>
    <w:rsid w:val="00E55EE9"/>
    <w:rsid w:val="00E96DF1"/>
    <w:rsid w:val="00F454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D8E5E"/>
  <w15:chartTrackingRefBased/>
  <w15:docId w15:val="{621A3F9B-6823-44B6-B788-8389174C5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sv-S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D5C2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7D5C2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7D5C28"/>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7D5C28"/>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7D5C28"/>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7D5C28"/>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7D5C28"/>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7D5C28"/>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7D5C28"/>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D5C28"/>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7D5C28"/>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7D5C28"/>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7D5C28"/>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7D5C28"/>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7D5C28"/>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7D5C28"/>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7D5C28"/>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7D5C28"/>
    <w:rPr>
      <w:rFonts w:eastAsiaTheme="majorEastAsia" w:cstheme="majorBidi"/>
      <w:color w:val="272727" w:themeColor="text1" w:themeTint="D8"/>
    </w:rPr>
  </w:style>
  <w:style w:type="paragraph" w:styleId="Rubrik">
    <w:name w:val="Title"/>
    <w:basedOn w:val="Normal"/>
    <w:next w:val="Normal"/>
    <w:link w:val="RubrikChar"/>
    <w:uiPriority w:val="10"/>
    <w:qFormat/>
    <w:rsid w:val="007D5C2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D5C28"/>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7D5C28"/>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7D5C28"/>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7D5C28"/>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7D5C28"/>
    <w:rPr>
      <w:i/>
      <w:iCs/>
      <w:color w:val="404040" w:themeColor="text1" w:themeTint="BF"/>
    </w:rPr>
  </w:style>
  <w:style w:type="paragraph" w:styleId="Liststycke">
    <w:name w:val="List Paragraph"/>
    <w:basedOn w:val="Normal"/>
    <w:uiPriority w:val="34"/>
    <w:qFormat/>
    <w:rsid w:val="007D5C28"/>
    <w:pPr>
      <w:ind w:left="720"/>
      <w:contextualSpacing/>
    </w:pPr>
  </w:style>
  <w:style w:type="character" w:styleId="Starkbetoning">
    <w:name w:val="Intense Emphasis"/>
    <w:basedOn w:val="Standardstycketeckensnitt"/>
    <w:uiPriority w:val="21"/>
    <w:qFormat/>
    <w:rsid w:val="007D5C28"/>
    <w:rPr>
      <w:i/>
      <w:iCs/>
      <w:color w:val="0F4761" w:themeColor="accent1" w:themeShade="BF"/>
    </w:rPr>
  </w:style>
  <w:style w:type="paragraph" w:styleId="Starktcitat">
    <w:name w:val="Intense Quote"/>
    <w:basedOn w:val="Normal"/>
    <w:next w:val="Normal"/>
    <w:link w:val="StarktcitatChar"/>
    <w:uiPriority w:val="30"/>
    <w:qFormat/>
    <w:rsid w:val="007D5C2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7D5C28"/>
    <w:rPr>
      <w:i/>
      <w:iCs/>
      <w:color w:val="0F4761" w:themeColor="accent1" w:themeShade="BF"/>
    </w:rPr>
  </w:style>
  <w:style w:type="character" w:styleId="Starkreferens">
    <w:name w:val="Intense Reference"/>
    <w:basedOn w:val="Standardstycketeckensnitt"/>
    <w:uiPriority w:val="32"/>
    <w:qFormat/>
    <w:rsid w:val="007D5C28"/>
    <w:rPr>
      <w:b/>
      <w:bCs/>
      <w:smallCaps/>
      <w:color w:val="0F4761" w:themeColor="accent1" w:themeShade="BF"/>
      <w:spacing w:val="5"/>
    </w:rPr>
  </w:style>
  <w:style w:type="paragraph" w:styleId="Sidfot">
    <w:name w:val="footer"/>
    <w:basedOn w:val="Normal"/>
    <w:link w:val="SidfotChar"/>
    <w:uiPriority w:val="99"/>
    <w:unhideWhenUsed/>
    <w:rsid w:val="007D5C2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D5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Metadata/LabelInfo.xml><?xml version="1.0" encoding="utf-8"?>
<clbl:labelList xmlns:clbl="http://schemas.microsoft.com/office/2020/mipLabelMetadata">
  <clbl:label id="{334b9c7f-322a-4f41-b213-4cf71405d3e5}" enabled="1" method="Standard" siteId="{35560656-747e-486b-ba12-fed516eeacbd}"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5122</Characters>
  <Application>Microsoft Office Word</Application>
  <DocSecurity>0</DocSecurity>
  <Lines>42</Lines>
  <Paragraphs>12</Paragraphs>
  <ScaleCrop>false</ScaleCrop>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Bergstrand</dc:creator>
  <cp:keywords/>
  <dc:description/>
  <cp:lastModifiedBy>Björn Bergstrand</cp:lastModifiedBy>
  <cp:revision>2</cp:revision>
  <dcterms:created xsi:type="dcterms:W3CDTF">2024-06-26T05:25:00Z</dcterms:created>
  <dcterms:modified xsi:type="dcterms:W3CDTF">2024-06-26T05:25:00Z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26320084,51c2ae8d,3e3b576e</vt:lpwstr>
  </property>
  <property fmtid="{D5CDD505-2E9C-101B-9397-08002B2CF9AE}" pid="3" name="ClassificationContentMarkingFooterFontProps">
    <vt:lpwstr>#000000,13,Calibri</vt:lpwstr>
  </property>
  <property fmtid="{D5CDD505-2E9C-101B-9397-08002B2CF9AE}" pid="4" name="ClassificationContentMarkingFooterText">
    <vt:lpwstr>Internal ‎ ‎ ‎ ‎ ‎ ‎ ‎ ‎ ‎ ‎ ‎‎ ‎</vt:lpwstr>
  </property>
</Properties>
</file>